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 Generated by Aspose.Words for Java 21.6.0 -->
  <w:body>
    <w:p>
      <w:pPr>
        <w:widowControl w:val="0"/>
        <w:topLinePunct/>
        <w:autoSpaceDE w:val="0"/>
        <w:autoSpaceDN w:val="0"/>
        <w:spacing w:before="0" w:after="0" w:line="360" w:lineRule="auto"/>
        <w:jc w:val="center"/>
        <w:rPr>
          <w:rFonts w:ascii="宋体" w:eastAsia="宋体" w:hAnsi="宋体" w:cs="宋体" w:hint="eastAsia"/>
          <w:b/>
          <w:sz w:val="96"/>
          <w:szCs w:val="96"/>
          <w:lang w:eastAsia="zh-CN"/>
        </w:rPr>
      </w:pPr>
      <w:bookmarkStart w:id="0" w:name="_GoBack"/>
      <w:bookmarkEnd w:id="0"/>
    </w:p>
    <w:p>
      <w:pPr>
        <w:widowControl w:val="0"/>
        <w:topLinePunct/>
        <w:autoSpaceDE w:val="0"/>
        <w:autoSpaceDN w:val="0"/>
        <w:spacing w:before="0" w:after="0" w:line="360" w:lineRule="auto"/>
        <w:jc w:val="center"/>
        <w:rPr>
          <w:rFonts w:ascii="宋体" w:eastAsia="宋体" w:hAnsi="宋体" w:cs="宋体" w:hint="eastAsia"/>
          <w:b/>
          <w:sz w:val="96"/>
          <w:szCs w:val="96"/>
          <w:lang w:eastAsia="zh-CN"/>
        </w:rPr>
      </w:pPr>
      <w:r>
        <w:rPr>
          <w:rFonts w:ascii="宋体" w:eastAsia="宋体" w:hAnsi="宋体" w:cs="宋体" w:hint="eastAsia"/>
          <w:b/>
          <w:sz w:val="96"/>
          <w:szCs w:val="96"/>
          <w:lang w:eastAsia="zh-CN"/>
        </w:rPr>
        <w:t>采 购 需 求</w:t>
      </w:r>
    </w:p>
    <w:p>
      <w:pPr>
        <w:widowControl w:val="0"/>
        <w:topLinePunct/>
        <w:autoSpaceDE w:val="0"/>
        <w:autoSpaceDN w:val="0"/>
        <w:spacing w:before="0" w:after="0" w:line="360" w:lineRule="auto"/>
        <w:jc w:val="center"/>
        <w:rPr>
          <w:rFonts w:ascii="宋体" w:eastAsia="宋体" w:hAnsi="宋体" w:cs="宋体" w:hint="eastAsia"/>
          <w:b/>
          <w:sz w:val="80"/>
          <w:szCs w:val="80"/>
          <w:lang w:eastAsia="zh-CN"/>
        </w:rPr>
      </w:pPr>
    </w:p>
    <w:p>
      <w:pPr>
        <w:widowControl w:val="0"/>
        <w:topLinePunct/>
        <w:autoSpaceDE w:val="0"/>
        <w:autoSpaceDN w:val="0"/>
        <w:spacing w:before="0" w:after="0" w:line="360" w:lineRule="auto"/>
        <w:jc w:val="center"/>
        <w:rPr>
          <w:rFonts w:ascii="宋体" w:eastAsia="宋体" w:hAnsi="宋体" w:cs="宋体" w:hint="eastAsia"/>
          <w:b/>
          <w:sz w:val="80"/>
          <w:szCs w:val="80"/>
          <w:lang w:eastAsia="zh-CN"/>
        </w:rPr>
      </w:pPr>
    </w:p>
    <w:p>
      <w:pPr>
        <w:widowControl w:val="0"/>
        <w:topLinePunct/>
        <w:autoSpaceDE w:val="0"/>
        <w:autoSpaceDN w:val="0"/>
        <w:spacing w:before="0" w:after="0" w:line="360" w:lineRule="auto"/>
        <w:jc w:val="center"/>
        <w:rPr>
          <w:rFonts w:ascii="宋体" w:eastAsia="宋体" w:hAnsi="宋体" w:cs="宋体" w:hint="eastAsia"/>
          <w:b/>
          <w:sz w:val="80"/>
          <w:szCs w:val="80"/>
          <w:lang w:eastAsia="zh-CN"/>
        </w:rPr>
      </w:pPr>
    </w:p>
    <w:p>
      <w:pPr>
        <w:widowControl w:val="0"/>
        <w:topLinePunct/>
        <w:autoSpaceDE w:val="0"/>
        <w:autoSpaceDN w:val="0"/>
        <w:spacing w:before="0" w:after="0" w:line="360" w:lineRule="auto"/>
        <w:jc w:val="center"/>
        <w:rPr>
          <w:rFonts w:ascii="宋体" w:eastAsia="宋体" w:hAnsi="宋体" w:cs="宋体" w:hint="eastAsia"/>
          <w:b/>
          <w:sz w:val="30"/>
          <w:szCs w:val="30"/>
          <w:lang w:eastAsia="zh-CN"/>
        </w:rPr>
      </w:pPr>
      <w:r>
        <w:rPr>
          <w:rFonts w:ascii="宋体" w:eastAsia="宋体" w:hAnsi="宋体" w:cs="宋体" w:hint="eastAsia"/>
          <w:b/>
          <w:sz w:val="30"/>
          <w:szCs w:val="30"/>
          <w:lang w:eastAsia="zh-CN"/>
        </w:rPr>
        <w:t>项目名称：</w:t>
      </w:r>
      <w:bookmarkStart w:id="1" w:name="项目名称_projectName"/>
      <w:r>
        <w:rPr>
          <w:rFonts w:ascii="宋体" w:eastAsia="宋体" w:hAnsi="宋体" w:cs="宋体" w:hint="eastAsia"/>
          <w:b/>
          <w:sz w:val="30"/>
          <w:szCs w:val="30"/>
          <w:lang w:eastAsia="zh-CN"/>
        </w:rPr>
        <w:t>国家税务总局大连市税务局第三税务分局非执法类辅助性纳税服务项目</w:t>
      </w:r>
      <w:bookmarkEnd w:id="1"/>
    </w:p>
    <w:p>
      <w:pPr>
        <w:widowControl w:val="0"/>
        <w:spacing w:before="0" w:after="0" w:line="360" w:lineRule="auto"/>
        <w:jc w:val="both"/>
        <w:rPr>
          <w:rFonts w:ascii="宋体" w:eastAsia="宋体" w:hAnsi="宋体" w:cs="宋体" w:hint="eastAsia"/>
          <w:kern w:val="2"/>
          <w:sz w:val="32"/>
          <w:szCs w:val="32"/>
          <w:lang w:eastAsia="zh-CN"/>
        </w:rPr>
      </w:pPr>
    </w:p>
    <w:p>
      <w:pPr>
        <w:widowControl w:val="0"/>
        <w:spacing w:before="0" w:after="0" w:line="360" w:lineRule="auto"/>
        <w:jc w:val="both"/>
        <w:rPr>
          <w:rFonts w:ascii="宋体" w:eastAsia="宋体" w:hAnsi="宋体" w:cs="宋体"/>
          <w:kern w:val="2"/>
          <w:sz w:val="32"/>
          <w:szCs w:val="32"/>
          <w:lang w:eastAsia="zh-CN"/>
        </w:rPr>
      </w:pPr>
    </w:p>
    <w:p>
      <w:pPr>
        <w:widowControl w:val="0"/>
        <w:spacing w:before="0" w:after="0" w:line="360" w:lineRule="auto"/>
        <w:jc w:val="both"/>
        <w:rPr>
          <w:rFonts w:ascii="宋体" w:eastAsia="宋体" w:hAnsi="宋体" w:cs="宋体" w:hint="eastAsia"/>
          <w:kern w:val="2"/>
          <w:sz w:val="32"/>
          <w:szCs w:val="32"/>
          <w:lang w:eastAsia="zh-CN"/>
        </w:rPr>
      </w:pPr>
    </w:p>
    <w:p>
      <w:pPr>
        <w:widowControl w:val="0"/>
        <w:topLinePunct/>
        <w:autoSpaceDE w:val="0"/>
        <w:autoSpaceDN w:val="0"/>
        <w:spacing w:before="0" w:after="0" w:line="360" w:lineRule="auto"/>
        <w:jc w:val="both"/>
        <w:rPr>
          <w:rFonts w:ascii="宋体" w:eastAsia="宋体" w:hAnsi="宋体" w:cs="宋体" w:hint="eastAsia"/>
          <w:sz w:val="32"/>
          <w:szCs w:val="32"/>
          <w:lang w:eastAsia="zh-CN"/>
        </w:rPr>
      </w:pPr>
    </w:p>
    <w:p>
      <w:pPr>
        <w:spacing w:before="0" w:after="0" w:line="360" w:lineRule="auto"/>
        <w:jc w:val="center"/>
        <w:rPr>
          <w:rFonts w:eastAsia="宋体"/>
        </w:rPr>
      </w:pPr>
      <w:bookmarkStart w:id="2" w:name="生成日期_currentDateTime_ym"/>
      <w:r>
        <w:rPr>
          <w:rFonts w:ascii="宋体" w:eastAsia="宋体" w:hAnsi="宋体" w:cs="宋体" w:hint="eastAsia"/>
          <w:sz w:val="36"/>
          <w:szCs w:val="36"/>
          <w:lang w:eastAsia="zh-CN"/>
        </w:rPr>
        <w:t>2025年11月</w:t>
      </w:r>
      <w:bookmarkEnd w:id="2"/>
    </w:p>
    <w:p w:rsidR="00A77B3E">
      <w:pPr>
        <w:spacing w:before="0" w:after="0" w:line="360" w:lineRule="auto"/>
        <w:jc w:val="center"/>
        <w:rPr>
          <w:rFonts w:ascii="SimSun" w:eastAsia="SimSun" w:hAnsi="SimSun" w:cs="SimSun"/>
          <w:sz w:val="32"/>
        </w:rPr>
      </w:pPr>
      <w:r>
        <w:br w:type="page"/>
      </w:r>
      <w:r>
        <w:rPr>
          <w:rFonts w:ascii="SimSun" w:eastAsia="SimSun" w:hAnsi="SimSun" w:cs="SimSun"/>
          <w:sz w:val="32"/>
        </w:rPr>
        <w:t>目 录</w:t>
      </w:r>
    </w:p>
    <w:p>
      <w:pPr>
        <w:pStyle w:val="TOC1"/>
        <w:tabs>
          <w:tab w:val="right" w:leader="dot" w:pos="9016"/>
        </w:tabs>
        <w:spacing w:before="0" w:after="0" w:line="360" w:lineRule="auto"/>
        <w:rPr>
          <w:rFonts w:asciiTheme="minorHAnsi" w:hAnsiTheme="minorHAnsi"/>
          <w:noProof/>
          <w:sz w:val="22"/>
        </w:rPr>
      </w:pPr>
      <w:r w:rsidR="00A77B3E">
        <w:rPr>
          <w:rFonts w:ascii="SimSun" w:eastAsia="SimSun" w:hAnsi="SimSun" w:cs="SimSun"/>
          <w:sz w:val="32"/>
        </w:rPr>
        <w:fldChar w:fldCharType="begin"/>
      </w:r>
      <w:r w:rsidR="00A77B3E">
        <w:rPr>
          <w:rFonts w:ascii="SimSun" w:eastAsia="SimSun" w:hAnsi="SimSun" w:cs="SimSun"/>
          <w:sz w:val="32"/>
        </w:rPr>
        <w:instrText>TOC \o "1-3" \h \z \u</w:instrText>
      </w:r>
      <w:r w:rsidR="00A77B3E">
        <w:rPr>
          <w:rFonts w:ascii="SimSun" w:eastAsia="SimSun" w:hAnsi="SimSun" w:cs="SimSun"/>
          <w:sz w:val="32"/>
        </w:rPr>
        <w:fldChar w:fldCharType="separate"/>
      </w:r>
      <w:hyperlink w:anchor="_Toc256000000" w:history="1">
        <w:r>
          <w:rPr>
            <w:rStyle w:val="Hyperlink"/>
            <w:rFonts w:ascii="仿宋_GB2312" w:eastAsia="仿宋_GB2312" w:hAnsi="仿宋_GB2312" w:cs="仿宋_GB2312"/>
            <w:kern w:val="36"/>
          </w:rPr>
          <w:t>1项目概述</w:t>
        </w:r>
        <w:r>
          <w:tab/>
        </w:r>
        <w:r>
          <w:fldChar w:fldCharType="begin"/>
        </w:r>
        <w:r>
          <w:instrText xml:space="preserve"> PAGEREF _Toc256000000 \h </w:instrText>
        </w:r>
        <w:r>
          <w:fldChar w:fldCharType="separate"/>
        </w:r>
        <w:r>
          <w:t>3</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01" w:history="1">
        <w:r>
          <w:rPr>
            <w:rStyle w:val="Hyperlink"/>
            <w:rFonts w:ascii="仿宋_GB2312" w:eastAsia="仿宋_GB2312" w:hAnsi="仿宋_GB2312" w:cs="仿宋_GB2312"/>
          </w:rPr>
          <w:t>1.1项目背景</w:t>
        </w:r>
        <w:r>
          <w:tab/>
        </w:r>
        <w:r>
          <w:fldChar w:fldCharType="begin"/>
        </w:r>
        <w:r>
          <w:instrText xml:space="preserve"> PAGEREF _Toc256000001 \h </w:instrText>
        </w:r>
        <w:r>
          <w:fldChar w:fldCharType="separate"/>
        </w:r>
        <w:r>
          <w:t>3</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02" w:history="1">
        <w:r>
          <w:rPr>
            <w:rStyle w:val="Hyperlink"/>
            <w:rFonts w:ascii="仿宋_GB2312" w:eastAsia="仿宋_GB2312" w:hAnsi="仿宋_GB2312" w:cs="仿宋_GB2312"/>
          </w:rPr>
          <w:t>1.1.1项目目的、意义及背景</w:t>
        </w:r>
        <w:r>
          <w:tab/>
        </w:r>
        <w:r>
          <w:fldChar w:fldCharType="begin"/>
        </w:r>
        <w:r>
          <w:instrText xml:space="preserve"> PAGEREF _Toc256000002 \h </w:instrText>
        </w:r>
        <w:r>
          <w:fldChar w:fldCharType="separate"/>
        </w:r>
        <w:r>
          <w:t>3</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03" w:history="1">
        <w:r>
          <w:rPr>
            <w:rStyle w:val="Hyperlink"/>
            <w:rFonts w:ascii="仿宋_GB2312" w:eastAsia="仿宋_GB2312" w:hAnsi="仿宋_GB2312" w:cs="仿宋_GB2312"/>
          </w:rPr>
          <w:t>1.2项目内容</w:t>
        </w:r>
        <w:r>
          <w:tab/>
        </w:r>
        <w:r>
          <w:fldChar w:fldCharType="begin"/>
        </w:r>
        <w:r>
          <w:instrText xml:space="preserve"> PAGEREF _Toc256000003 \h </w:instrText>
        </w:r>
        <w:r>
          <w:fldChar w:fldCharType="separate"/>
        </w:r>
        <w:r>
          <w:t>3</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04" w:history="1">
        <w:r>
          <w:rPr>
            <w:rStyle w:val="Hyperlink"/>
            <w:rFonts w:ascii="仿宋_GB2312" w:eastAsia="仿宋_GB2312" w:hAnsi="仿宋_GB2312" w:cs="仿宋_GB2312"/>
          </w:rPr>
          <w:t>1.2.1采购内容</w:t>
        </w:r>
        <w:r>
          <w:tab/>
        </w:r>
        <w:r>
          <w:fldChar w:fldCharType="begin"/>
        </w:r>
        <w:r>
          <w:instrText xml:space="preserve"> PAGEREF _Toc256000004 \h </w:instrText>
        </w:r>
        <w:r>
          <w:fldChar w:fldCharType="separate"/>
        </w:r>
        <w:r>
          <w:t>3</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05" w:history="1">
        <w:r>
          <w:rPr>
            <w:rStyle w:val="Hyperlink"/>
            <w:rFonts w:ascii="仿宋_GB2312" w:eastAsia="仿宋_GB2312" w:hAnsi="仿宋_GB2312" w:cs="仿宋_GB2312"/>
          </w:rPr>
          <w:t>1.2.2项目实施要求</w:t>
        </w:r>
        <w:r>
          <w:tab/>
        </w:r>
        <w:r>
          <w:fldChar w:fldCharType="begin"/>
        </w:r>
        <w:r>
          <w:instrText xml:space="preserve"> PAGEREF _Toc256000005 \h </w:instrText>
        </w:r>
        <w:r>
          <w:fldChar w:fldCharType="separate"/>
        </w:r>
        <w:r>
          <w:t>3</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06" w:history="1">
        <w:r>
          <w:rPr>
            <w:rStyle w:val="Hyperlink"/>
            <w:rFonts w:ascii="仿宋_GB2312" w:eastAsia="仿宋_GB2312" w:hAnsi="仿宋_GB2312" w:cs="仿宋_GB2312"/>
            <w:kern w:val="36"/>
          </w:rPr>
          <w:t>2投标/响应要求</w:t>
        </w:r>
        <w:r>
          <w:tab/>
        </w:r>
        <w:r>
          <w:fldChar w:fldCharType="begin"/>
        </w:r>
        <w:r>
          <w:instrText xml:space="preserve"> PAGEREF _Toc256000006 \h </w:instrText>
        </w:r>
        <w:r>
          <w:fldChar w:fldCharType="separate"/>
        </w:r>
        <w:r>
          <w:t>4</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07" w:history="1">
        <w:r>
          <w:rPr>
            <w:rStyle w:val="Hyperlink"/>
            <w:rFonts w:ascii="仿宋_GB2312" w:eastAsia="仿宋_GB2312" w:hAnsi="仿宋_GB2312" w:cs="仿宋_GB2312"/>
          </w:rPr>
          <w:t>2.1对供应商的要求</w:t>
        </w:r>
        <w:r>
          <w:tab/>
        </w:r>
        <w:r>
          <w:fldChar w:fldCharType="begin"/>
        </w:r>
        <w:r>
          <w:instrText xml:space="preserve"> PAGEREF _Toc256000007 \h </w:instrText>
        </w:r>
        <w:r>
          <w:fldChar w:fldCharType="separate"/>
        </w:r>
        <w:r>
          <w:t>4</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08" w:history="1">
        <w:r>
          <w:rPr>
            <w:rStyle w:val="Hyperlink"/>
            <w:rFonts w:ascii="仿宋_GB2312" w:eastAsia="仿宋_GB2312" w:hAnsi="仿宋_GB2312" w:cs="仿宋_GB2312"/>
          </w:rPr>
          <w:t>2.1.1必备资质</w:t>
        </w:r>
        <w:r>
          <w:tab/>
        </w:r>
        <w:r>
          <w:fldChar w:fldCharType="begin"/>
        </w:r>
        <w:r>
          <w:instrText xml:space="preserve"> PAGEREF _Toc256000008 \h </w:instrText>
        </w:r>
        <w:r>
          <w:fldChar w:fldCharType="separate"/>
        </w:r>
        <w:r>
          <w:t>4</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09" w:history="1">
        <w:r>
          <w:rPr>
            <w:rStyle w:val="Hyperlink"/>
            <w:rFonts w:ascii="仿宋_GB2312" w:eastAsia="仿宋_GB2312" w:hAnsi="仿宋_GB2312" w:cs="仿宋_GB2312"/>
          </w:rPr>
          <w:t>2.1.2优选资质/优选指标</w:t>
        </w:r>
        <w:r>
          <w:tab/>
        </w:r>
        <w:r>
          <w:fldChar w:fldCharType="begin"/>
        </w:r>
        <w:r>
          <w:instrText xml:space="preserve"> PAGEREF _Toc256000009 \h </w:instrText>
        </w:r>
        <w:r>
          <w:fldChar w:fldCharType="separate"/>
        </w:r>
        <w:r>
          <w:t>4</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10" w:history="1">
        <w:r>
          <w:rPr>
            <w:rStyle w:val="Hyperlink"/>
            <w:rFonts w:ascii="仿宋_GB2312" w:eastAsia="仿宋_GB2312" w:hAnsi="仿宋_GB2312" w:cs="仿宋_GB2312"/>
          </w:rPr>
          <w:t>2.1.3是否允许联合体</w:t>
        </w:r>
        <w:r>
          <w:tab/>
        </w:r>
        <w:r>
          <w:fldChar w:fldCharType="begin"/>
        </w:r>
        <w:r>
          <w:instrText xml:space="preserve"> PAGEREF _Toc256000010 \h </w:instrText>
        </w:r>
        <w:r>
          <w:fldChar w:fldCharType="separate"/>
        </w:r>
        <w:r>
          <w:t>5</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11" w:history="1">
        <w:r>
          <w:rPr>
            <w:rStyle w:val="Hyperlink"/>
            <w:rFonts w:ascii="仿宋_GB2312" w:eastAsia="仿宋_GB2312" w:hAnsi="仿宋_GB2312" w:cs="仿宋_GB2312"/>
          </w:rPr>
          <w:t>2.1.4是否专门面向中小企业</w:t>
        </w:r>
        <w:r>
          <w:tab/>
        </w:r>
        <w:r>
          <w:fldChar w:fldCharType="begin"/>
        </w:r>
        <w:r>
          <w:instrText xml:space="preserve"> PAGEREF _Toc256000011 \h </w:instrText>
        </w:r>
        <w:r>
          <w:fldChar w:fldCharType="separate"/>
        </w:r>
        <w:r>
          <w:t>5</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12" w:history="1">
        <w:r>
          <w:rPr>
            <w:rStyle w:val="Hyperlink"/>
            <w:rFonts w:ascii="仿宋_GB2312" w:eastAsia="仿宋_GB2312" w:hAnsi="仿宋_GB2312" w:cs="仿宋_GB2312"/>
          </w:rPr>
          <w:t>2.2技术部分投标/响应内容</w:t>
        </w:r>
        <w:r>
          <w:tab/>
        </w:r>
        <w:r>
          <w:fldChar w:fldCharType="begin"/>
        </w:r>
        <w:r>
          <w:instrText xml:space="preserve"> PAGEREF _Toc256000012 \h </w:instrText>
        </w:r>
        <w:r>
          <w:fldChar w:fldCharType="separate"/>
        </w:r>
        <w:r>
          <w:t>5</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13" w:history="1">
        <w:r>
          <w:rPr>
            <w:rStyle w:val="Hyperlink"/>
            <w:rFonts w:ascii="仿宋_GB2312" w:eastAsia="仿宋_GB2312" w:hAnsi="仿宋_GB2312" w:cs="仿宋_GB2312"/>
          </w:rPr>
          <w:t>2.2.1技术投标/响应总要求</w:t>
        </w:r>
        <w:r>
          <w:tab/>
        </w:r>
        <w:r>
          <w:fldChar w:fldCharType="begin"/>
        </w:r>
        <w:r>
          <w:instrText xml:space="preserve"> PAGEREF _Toc256000013 \h </w:instrText>
        </w:r>
        <w:r>
          <w:fldChar w:fldCharType="separate"/>
        </w:r>
        <w:r>
          <w:t>5</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14" w:history="1">
        <w:r>
          <w:rPr>
            <w:rStyle w:val="Hyperlink"/>
            <w:rFonts w:ascii="仿宋_GB2312" w:eastAsia="仿宋_GB2312" w:hAnsi="仿宋_GB2312" w:cs="仿宋_GB2312"/>
          </w:rPr>
          <w:t>2.2.2投标/响应方案要求</w:t>
        </w:r>
        <w:r>
          <w:tab/>
        </w:r>
        <w:r>
          <w:fldChar w:fldCharType="begin"/>
        </w:r>
        <w:r>
          <w:instrText xml:space="preserve"> PAGEREF _Toc256000014 \h </w:instrText>
        </w:r>
        <w:r>
          <w:fldChar w:fldCharType="separate"/>
        </w:r>
        <w:r>
          <w:t>5</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15" w:history="1">
        <w:r>
          <w:rPr>
            <w:rStyle w:val="Hyperlink"/>
            <w:rFonts w:ascii="仿宋_GB2312" w:eastAsia="仿宋_GB2312" w:hAnsi="仿宋_GB2312" w:cs="仿宋_GB2312"/>
            <w:kern w:val="36"/>
          </w:rPr>
          <w:t>3项目需求</w:t>
        </w:r>
        <w:r>
          <w:tab/>
        </w:r>
        <w:r>
          <w:fldChar w:fldCharType="begin"/>
        </w:r>
        <w:r>
          <w:instrText xml:space="preserve"> PAGEREF _Toc256000015 \h </w:instrText>
        </w:r>
        <w:r>
          <w:fldChar w:fldCharType="separate"/>
        </w:r>
        <w:r>
          <w:t>7</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16" w:history="1">
        <w:r>
          <w:rPr>
            <w:rStyle w:val="Hyperlink"/>
            <w:rFonts w:ascii="仿宋_GB2312" w:eastAsia="仿宋_GB2312" w:hAnsi="仿宋_GB2312" w:cs="仿宋_GB2312"/>
          </w:rPr>
          <w:t>3.1总体要求</w:t>
        </w:r>
        <w:r>
          <w:tab/>
        </w:r>
        <w:r>
          <w:fldChar w:fldCharType="begin"/>
        </w:r>
        <w:r>
          <w:instrText xml:space="preserve"> PAGEREF _Toc256000016 \h </w:instrText>
        </w:r>
        <w:r>
          <w:fldChar w:fldCharType="separate"/>
        </w:r>
        <w:r>
          <w:t>7</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17" w:history="1">
        <w:r>
          <w:rPr>
            <w:rStyle w:val="Hyperlink"/>
            <w:rFonts w:ascii="仿宋_GB2312" w:eastAsia="仿宋_GB2312" w:hAnsi="仿宋_GB2312" w:cs="仿宋_GB2312"/>
          </w:rPr>
          <w:t>3.2服务内容和要求</w:t>
        </w:r>
        <w:r>
          <w:tab/>
        </w:r>
        <w:r>
          <w:fldChar w:fldCharType="begin"/>
        </w:r>
        <w:r>
          <w:instrText xml:space="preserve"> PAGEREF _Toc256000017 \h </w:instrText>
        </w:r>
        <w:r>
          <w:fldChar w:fldCharType="separate"/>
        </w:r>
        <w:r>
          <w:t>8</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18" w:history="1">
        <w:r>
          <w:rPr>
            <w:rStyle w:val="Hyperlink"/>
            <w:rFonts w:ascii="仿宋_GB2312" w:eastAsia="仿宋_GB2312" w:hAnsi="仿宋_GB2312" w:cs="仿宋_GB2312"/>
          </w:rPr>
          <w:t>3.2.1技术和服务客观指标</w:t>
        </w:r>
        <w:r>
          <w:tab/>
        </w:r>
        <w:r>
          <w:fldChar w:fldCharType="begin"/>
        </w:r>
        <w:r>
          <w:instrText xml:space="preserve"> PAGEREF _Toc256000018 \h </w:instrText>
        </w:r>
        <w:r>
          <w:fldChar w:fldCharType="separate"/>
        </w:r>
        <w:r>
          <w:t>9</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19" w:history="1">
        <w:r>
          <w:rPr>
            <w:rStyle w:val="Hyperlink"/>
            <w:rFonts w:ascii="仿宋_GB2312" w:eastAsia="仿宋_GB2312" w:hAnsi="仿宋_GB2312" w:cs="仿宋_GB2312"/>
            <w:kern w:val="36"/>
          </w:rPr>
          <w:t>4人员要求</w:t>
        </w:r>
        <w:r>
          <w:tab/>
        </w:r>
        <w:r>
          <w:fldChar w:fldCharType="begin"/>
        </w:r>
        <w:r>
          <w:instrText xml:space="preserve"> PAGEREF _Toc256000019 \h </w:instrText>
        </w:r>
        <w:r>
          <w:fldChar w:fldCharType="separate"/>
        </w:r>
        <w:r>
          <w:t>9</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20" w:history="1">
        <w:r>
          <w:rPr>
            <w:rStyle w:val="Hyperlink"/>
            <w:rFonts w:ascii="仿宋_GB2312" w:eastAsia="仿宋_GB2312" w:hAnsi="仿宋_GB2312" w:cs="仿宋_GB2312"/>
          </w:rPr>
          <w:t>4.1总体要求</w:t>
        </w:r>
        <w:r>
          <w:tab/>
        </w:r>
        <w:r>
          <w:fldChar w:fldCharType="begin"/>
        </w:r>
        <w:r>
          <w:instrText xml:space="preserve"> PAGEREF _Toc256000020 \h </w:instrText>
        </w:r>
        <w:r>
          <w:fldChar w:fldCharType="separate"/>
        </w:r>
        <w:r>
          <w:t>9</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21" w:history="1">
        <w:r>
          <w:rPr>
            <w:rStyle w:val="Hyperlink"/>
            <w:rFonts w:ascii="仿宋_GB2312" w:eastAsia="仿宋_GB2312" w:hAnsi="仿宋_GB2312" w:cs="仿宋_GB2312"/>
          </w:rPr>
          <w:t>4.2管理团队</w:t>
        </w:r>
        <w:r>
          <w:tab/>
        </w:r>
        <w:r>
          <w:fldChar w:fldCharType="begin"/>
        </w:r>
        <w:r>
          <w:instrText xml:space="preserve"> PAGEREF _Toc256000021 \h </w:instrText>
        </w:r>
        <w:r>
          <w:fldChar w:fldCharType="separate"/>
        </w:r>
        <w:r>
          <w:t>9</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22" w:history="1">
        <w:r>
          <w:rPr>
            <w:rStyle w:val="Hyperlink"/>
            <w:rFonts w:ascii="仿宋_GB2312" w:eastAsia="仿宋_GB2312" w:hAnsi="仿宋_GB2312" w:cs="仿宋_GB2312"/>
          </w:rPr>
          <w:t>4.3技术团队</w:t>
        </w:r>
        <w:r>
          <w:tab/>
        </w:r>
        <w:r>
          <w:fldChar w:fldCharType="begin"/>
        </w:r>
        <w:r>
          <w:instrText xml:space="preserve"> PAGEREF _Toc256000022 \h </w:instrText>
        </w:r>
        <w:r>
          <w:fldChar w:fldCharType="separate"/>
        </w:r>
        <w:r>
          <w:t>9</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23" w:history="1">
        <w:r>
          <w:rPr>
            <w:rStyle w:val="Hyperlink"/>
            <w:rFonts w:ascii="仿宋_GB2312" w:eastAsia="仿宋_GB2312" w:hAnsi="仿宋_GB2312" w:cs="仿宋_GB2312"/>
          </w:rPr>
          <w:t>4.4优选资质/优选指标</w:t>
        </w:r>
        <w:r>
          <w:tab/>
        </w:r>
        <w:r>
          <w:fldChar w:fldCharType="begin"/>
        </w:r>
        <w:r>
          <w:instrText xml:space="preserve"> PAGEREF _Toc256000023 \h </w:instrText>
        </w:r>
        <w:r>
          <w:fldChar w:fldCharType="separate"/>
        </w:r>
        <w:r>
          <w:t>11</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24" w:history="1">
        <w:r>
          <w:rPr>
            <w:rStyle w:val="Hyperlink"/>
            <w:rFonts w:ascii="仿宋_GB2312" w:eastAsia="仿宋_GB2312" w:hAnsi="仿宋_GB2312" w:cs="仿宋_GB2312"/>
            <w:kern w:val="36"/>
          </w:rPr>
          <w:t>5管理实施要求</w:t>
        </w:r>
        <w:r>
          <w:tab/>
        </w:r>
        <w:r>
          <w:fldChar w:fldCharType="begin"/>
        </w:r>
        <w:r>
          <w:instrText xml:space="preserve"> PAGEREF _Toc256000024 \h </w:instrText>
        </w:r>
        <w:r>
          <w:fldChar w:fldCharType="separate"/>
        </w:r>
        <w:r>
          <w:t>11</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25" w:history="1">
        <w:r>
          <w:rPr>
            <w:rStyle w:val="Hyperlink"/>
            <w:rFonts w:ascii="仿宋_GB2312" w:eastAsia="仿宋_GB2312" w:hAnsi="仿宋_GB2312" w:cs="仿宋_GB2312"/>
          </w:rPr>
          <w:t>5.1具体要求</w:t>
        </w:r>
        <w:r>
          <w:tab/>
        </w:r>
        <w:r>
          <w:fldChar w:fldCharType="begin"/>
        </w:r>
        <w:r>
          <w:instrText xml:space="preserve"> PAGEREF _Toc256000025 \h </w:instrText>
        </w:r>
        <w:r>
          <w:fldChar w:fldCharType="separate"/>
        </w:r>
        <w:r>
          <w:t>11</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26" w:history="1">
        <w:r>
          <w:rPr>
            <w:rStyle w:val="Hyperlink"/>
            <w:rFonts w:ascii="仿宋_GB2312" w:eastAsia="仿宋_GB2312" w:hAnsi="仿宋_GB2312" w:cs="仿宋_GB2312"/>
            <w:kern w:val="36"/>
          </w:rPr>
          <w:t>6风险管控要求</w:t>
        </w:r>
        <w:r>
          <w:tab/>
        </w:r>
        <w:r>
          <w:fldChar w:fldCharType="begin"/>
        </w:r>
        <w:r>
          <w:instrText xml:space="preserve"> PAGEREF _Toc256000026 \h </w:instrText>
        </w:r>
        <w:r>
          <w:fldChar w:fldCharType="separate"/>
        </w:r>
        <w:r>
          <w:t>11</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27" w:history="1">
        <w:r>
          <w:rPr>
            <w:rStyle w:val="Hyperlink"/>
            <w:rFonts w:ascii="仿宋_GB2312" w:eastAsia="仿宋_GB2312" w:hAnsi="仿宋_GB2312" w:cs="仿宋_GB2312"/>
            <w:kern w:val="36"/>
          </w:rPr>
          <w:t>7履约验收要求</w:t>
        </w:r>
        <w:r>
          <w:tab/>
        </w:r>
        <w:r>
          <w:fldChar w:fldCharType="begin"/>
        </w:r>
        <w:r>
          <w:instrText xml:space="preserve"> PAGEREF _Toc256000027 \h </w:instrText>
        </w:r>
        <w:r>
          <w:fldChar w:fldCharType="separate"/>
        </w:r>
        <w:r>
          <w:t>12</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28" w:history="1">
        <w:r>
          <w:rPr>
            <w:rStyle w:val="Hyperlink"/>
            <w:rFonts w:ascii="仿宋_GB2312" w:eastAsia="仿宋_GB2312" w:hAnsi="仿宋_GB2312" w:cs="仿宋_GB2312"/>
          </w:rPr>
          <w:t>7.1总体要求</w:t>
        </w:r>
        <w:r>
          <w:tab/>
        </w:r>
        <w:r>
          <w:fldChar w:fldCharType="begin"/>
        </w:r>
        <w:r>
          <w:instrText xml:space="preserve"> PAGEREF _Toc256000028 \h </w:instrText>
        </w:r>
        <w:r>
          <w:fldChar w:fldCharType="separate"/>
        </w:r>
        <w:r>
          <w:t>12</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29" w:history="1">
        <w:r>
          <w:rPr>
            <w:rStyle w:val="Hyperlink"/>
            <w:rFonts w:ascii="仿宋_GB2312" w:eastAsia="仿宋_GB2312" w:hAnsi="仿宋_GB2312" w:cs="仿宋_GB2312"/>
          </w:rPr>
          <w:t>7.2具体要求</w:t>
        </w:r>
        <w:r>
          <w:tab/>
        </w:r>
        <w:r>
          <w:fldChar w:fldCharType="begin"/>
        </w:r>
        <w:r>
          <w:instrText xml:space="preserve"> PAGEREF _Toc256000029 \h </w:instrText>
        </w:r>
        <w:r>
          <w:fldChar w:fldCharType="separate"/>
        </w:r>
        <w:r>
          <w:t>12</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30" w:history="1">
        <w:r>
          <w:rPr>
            <w:rStyle w:val="Hyperlink"/>
            <w:rFonts w:ascii="仿宋_GB2312" w:eastAsia="仿宋_GB2312" w:hAnsi="仿宋_GB2312" w:cs="仿宋_GB2312"/>
            <w:kern w:val="36"/>
          </w:rPr>
          <w:t>8其他要求</w:t>
        </w:r>
        <w:r>
          <w:tab/>
        </w:r>
        <w:r>
          <w:fldChar w:fldCharType="begin"/>
        </w:r>
        <w:r>
          <w:instrText xml:space="preserve"> PAGEREF _Toc256000030 \h </w:instrText>
        </w:r>
        <w:r>
          <w:fldChar w:fldCharType="separate"/>
        </w:r>
        <w:r>
          <w:t>13</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31" w:history="1">
        <w:r>
          <w:rPr>
            <w:rStyle w:val="Hyperlink"/>
            <w:rFonts w:ascii="仿宋_GB2312" w:eastAsia="仿宋_GB2312" w:hAnsi="仿宋_GB2312" w:cs="仿宋_GB2312"/>
          </w:rPr>
          <w:t>8.1必备要求</w:t>
        </w:r>
        <w:r>
          <w:tab/>
        </w:r>
        <w:r>
          <w:fldChar w:fldCharType="begin"/>
        </w:r>
        <w:r>
          <w:instrText xml:space="preserve"> PAGEREF _Toc256000031 \h </w:instrText>
        </w:r>
        <w:r>
          <w:fldChar w:fldCharType="separate"/>
        </w:r>
        <w:r>
          <w:t>13</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32" w:history="1">
        <w:r>
          <w:rPr>
            <w:rStyle w:val="Hyperlink"/>
            <w:rFonts w:ascii="仿宋_GB2312" w:eastAsia="仿宋_GB2312" w:hAnsi="仿宋_GB2312" w:cs="仿宋_GB2312"/>
          </w:rPr>
          <w:t>8.1.1通用必备要求</w:t>
        </w:r>
        <w:r>
          <w:tab/>
        </w:r>
        <w:r>
          <w:fldChar w:fldCharType="begin"/>
        </w:r>
        <w:r>
          <w:instrText xml:space="preserve"> PAGEREF _Toc256000032 \h </w:instrText>
        </w:r>
        <w:r>
          <w:fldChar w:fldCharType="separate"/>
        </w:r>
        <w:r>
          <w:t>13</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33" w:history="1">
        <w:r>
          <w:rPr>
            <w:rStyle w:val="Hyperlink"/>
            <w:rFonts w:ascii="仿宋_GB2312" w:eastAsia="仿宋_GB2312" w:hAnsi="仿宋_GB2312" w:cs="仿宋_GB2312"/>
          </w:rPr>
          <w:t>8.2付款安排建议</w:t>
        </w:r>
        <w:r>
          <w:tab/>
        </w:r>
        <w:r>
          <w:fldChar w:fldCharType="begin"/>
        </w:r>
        <w:r>
          <w:instrText xml:space="preserve"> PAGEREF _Toc256000033 \h </w:instrText>
        </w:r>
        <w:r>
          <w:fldChar w:fldCharType="separate"/>
        </w:r>
        <w:r>
          <w:t>14</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34" w:history="1">
        <w:r>
          <w:rPr>
            <w:rStyle w:val="Hyperlink"/>
            <w:rFonts w:ascii="仿宋_GB2312" w:eastAsia="仿宋_GB2312" w:hAnsi="仿宋_GB2312" w:cs="仿宋_GB2312"/>
          </w:rPr>
          <w:t>8.2.1付款方式</w:t>
        </w:r>
        <w:r>
          <w:tab/>
        </w:r>
        <w:r>
          <w:fldChar w:fldCharType="begin"/>
        </w:r>
        <w:r>
          <w:instrText xml:space="preserve"> PAGEREF _Toc256000034 \h </w:instrText>
        </w:r>
        <w:r>
          <w:fldChar w:fldCharType="separate"/>
        </w:r>
        <w:r>
          <w:t>14</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35" w:history="1">
        <w:r>
          <w:rPr>
            <w:rStyle w:val="Hyperlink"/>
            <w:rFonts w:ascii="仿宋_GB2312" w:eastAsia="仿宋_GB2312" w:hAnsi="仿宋_GB2312" w:cs="仿宋_GB2312"/>
          </w:rPr>
          <w:t>8.3其他要求</w:t>
        </w:r>
        <w:r>
          <w:tab/>
        </w:r>
        <w:r>
          <w:fldChar w:fldCharType="begin"/>
        </w:r>
        <w:r>
          <w:instrText xml:space="preserve"> PAGEREF _Toc256000035 \h </w:instrText>
        </w:r>
        <w:r>
          <w:fldChar w:fldCharType="separate"/>
        </w:r>
        <w:r>
          <w:t>14</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36" w:history="1">
        <w:r>
          <w:rPr>
            <w:rStyle w:val="Hyperlink"/>
            <w:rFonts w:ascii="仿宋_GB2312" w:eastAsia="仿宋_GB2312" w:hAnsi="仿宋_GB2312" w:cs="仿宋_GB2312"/>
          </w:rPr>
          <w:t>8.3.1项目其他要求</w:t>
        </w:r>
        <w:r>
          <w:tab/>
        </w:r>
        <w:r>
          <w:fldChar w:fldCharType="begin"/>
        </w:r>
        <w:r>
          <w:instrText xml:space="preserve"> PAGEREF _Toc256000036 \h </w:instrText>
        </w:r>
        <w:r>
          <w:fldChar w:fldCharType="separate"/>
        </w:r>
        <w:r>
          <w:t>14</w:t>
        </w:r>
        <w:r>
          <w:fldChar w:fldCharType="end"/>
        </w:r>
      </w:hyperlink>
    </w:p>
    <w:p>
      <w:pPr>
        <w:spacing w:before="0" w:after="0" w:line="360" w:lineRule="auto"/>
        <w:jc w:val="left"/>
      </w:pPr>
      <w:r w:rsidR="00A77B3E">
        <w:rPr>
          <w:rFonts w:ascii="SimSun" w:eastAsia="SimSun" w:hAnsi="SimSun" w:cs="SimSun"/>
          <w:sz w:val="32"/>
        </w:rPr>
        <w:fldChar w:fldCharType="end"/>
      </w:r>
      <w:r>
        <w:br w:type="page"/>
      </w:r>
    </w:p>
    <w:p>
      <w:pPr>
        <w:pStyle w:val="Heading1"/>
        <w:keepNext w:val="0"/>
        <w:spacing w:before="0" w:after="0" w:line="360" w:lineRule="auto"/>
        <w:jc w:val="center"/>
        <w:rPr>
          <w:rFonts w:ascii="仿宋_GB2312" w:eastAsia="仿宋_GB2312" w:hAnsi="仿宋_GB2312" w:cs="仿宋_GB2312"/>
          <w:b/>
          <w:bCs/>
          <w:sz w:val="32"/>
          <w:szCs w:val="32"/>
        </w:rPr>
      </w:pPr>
      <w:bookmarkStart w:id="3" w:name="_Toc256000000"/>
      <w:r>
        <w:rPr>
          <w:rFonts w:ascii="仿宋_GB2312" w:eastAsia="仿宋_GB2312" w:hAnsi="仿宋_GB2312" w:cs="仿宋_GB2312"/>
          <w:kern w:val="36"/>
        </w:rPr>
        <w:t>1项目概述</w:t>
      </w:r>
      <w:bookmarkEnd w:id="3"/>
    </w:p>
    <w:p>
      <w:pPr>
        <w:pStyle w:val="Heading2"/>
        <w:keepNext w:val="0"/>
        <w:spacing w:before="0" w:after="0" w:line="360" w:lineRule="auto"/>
        <w:rPr>
          <w:rFonts w:ascii="仿宋_GB2312" w:eastAsia="仿宋_GB2312" w:hAnsi="仿宋_GB2312" w:cs="仿宋_GB2312"/>
          <w:b/>
          <w:bCs/>
          <w:sz w:val="28"/>
          <w:szCs w:val="28"/>
        </w:rPr>
      </w:pPr>
      <w:bookmarkStart w:id="4" w:name="_Toc256000001"/>
      <w:r>
        <w:rPr>
          <w:rFonts w:ascii="仿宋_GB2312" w:eastAsia="仿宋_GB2312" w:hAnsi="仿宋_GB2312" w:cs="仿宋_GB2312"/>
          <w:i w:val="0"/>
          <w:iCs w:val="0"/>
        </w:rPr>
        <w:t>1.1项目背景</w:t>
      </w:r>
      <w:bookmarkEnd w:id="4"/>
    </w:p>
    <w:p>
      <w:pPr>
        <w:pStyle w:val="Heading3"/>
        <w:keepNext w:val="0"/>
        <w:spacing w:before="0" w:after="0" w:line="360" w:lineRule="auto"/>
        <w:rPr>
          <w:rFonts w:ascii="仿宋_GB2312" w:eastAsia="仿宋_GB2312" w:hAnsi="仿宋_GB2312" w:cs="仿宋_GB2312"/>
          <w:b/>
          <w:bCs/>
          <w:sz w:val="28"/>
          <w:szCs w:val="28"/>
        </w:rPr>
      </w:pPr>
      <w:bookmarkStart w:id="5" w:name="_Toc256000002"/>
      <w:r>
        <w:rPr>
          <w:rFonts w:ascii="仿宋_GB2312" w:eastAsia="仿宋_GB2312" w:hAnsi="仿宋_GB2312" w:cs="仿宋_GB2312"/>
          <w:sz w:val="28"/>
          <w:szCs w:val="28"/>
        </w:rPr>
        <w:t>1.1.1项目目的、意义及背景</w:t>
      </w:r>
      <w:bookmarkEnd w:id="5"/>
    </w:p>
    <w:p>
      <w:pPr>
        <w:pStyle w:val="MsoNormal"/>
        <w:spacing w:before="0" w:after="0" w:line="360" w:lineRule="auto"/>
        <w:rPr>
          <w:rFonts w:ascii="Times New Roman" w:eastAsia="Times New Roman" w:hAnsi="Times New Roman" w:cs="Times New Roman"/>
        </w:rPr>
      </w:pPr>
      <w:r>
        <w:rPr>
          <w:rFonts w:ascii="FangSong_GB2312" w:eastAsia="FangSong_GB2312" w:hAnsi="FangSong_GB2312" w:cs="FangSong_GB2312"/>
          <w:sz w:val="21"/>
          <w:szCs w:val="21"/>
        </w:rPr>
        <w:t xml:space="preserve">    </w:t>
      </w:r>
      <w:r>
        <w:rPr>
          <w:rFonts w:ascii="FangSong" w:eastAsia="FangSong" w:hAnsi="FangSong" w:cs="FangSong"/>
          <w:sz w:val="32"/>
          <w:szCs w:val="32"/>
        </w:rPr>
        <w:t>   国家税务总局大连市税务局第三税务分局负责大连市四区房屋、土地交易等相关税费的征收管理工作。分局下设三个办税服务厅，其中不动产交易办税服务厅从2021年至今为改善营商环境，提升服务质量、提高办税效率，采取了以下三项改革措施：一是联合大连市不动产登记中心在部分银行增设“服务窗口”提供下沉服务；二是增开“电话和视频”咨询模式，近年来网络咨询数量逐渐增大；三是为了节省纳税人业务办理时间开创“一窗办理”和“一岗通办”新的办税模式，如今已达到每日受理件数逾500余份。因分局现有编制人数无法满足服务要求，所以需要政府购买服务形式解决用人用工的问题。</w:t>
      </w:r>
    </w:p>
    <w:p>
      <w:pPr>
        <w:pStyle w:val="Heading2"/>
        <w:keepNext w:val="0"/>
        <w:spacing w:before="0" w:after="0" w:line="360" w:lineRule="auto"/>
        <w:rPr>
          <w:rFonts w:ascii="仿宋_GB2312" w:eastAsia="仿宋_GB2312" w:hAnsi="仿宋_GB2312" w:cs="仿宋_GB2312"/>
          <w:b/>
          <w:bCs/>
          <w:sz w:val="28"/>
          <w:szCs w:val="28"/>
        </w:rPr>
      </w:pPr>
      <w:bookmarkStart w:id="6" w:name="_Toc256000003"/>
      <w:r>
        <w:rPr>
          <w:rFonts w:ascii="仿宋_GB2312" w:eastAsia="仿宋_GB2312" w:hAnsi="仿宋_GB2312" w:cs="仿宋_GB2312"/>
          <w:i w:val="0"/>
          <w:iCs w:val="0"/>
        </w:rPr>
        <w:t>1.2项目内容</w:t>
      </w:r>
      <w:bookmarkEnd w:id="6"/>
    </w:p>
    <w:p>
      <w:pPr>
        <w:pStyle w:val="Heading3"/>
        <w:keepNext w:val="0"/>
        <w:spacing w:before="0" w:after="0" w:line="360" w:lineRule="auto"/>
        <w:rPr>
          <w:rFonts w:ascii="仿宋_GB2312" w:eastAsia="仿宋_GB2312" w:hAnsi="仿宋_GB2312" w:cs="仿宋_GB2312"/>
          <w:b/>
          <w:bCs/>
          <w:sz w:val="28"/>
          <w:szCs w:val="28"/>
        </w:rPr>
      </w:pPr>
      <w:bookmarkStart w:id="7" w:name="_Toc256000004"/>
      <w:r>
        <w:rPr>
          <w:rFonts w:ascii="仿宋_GB2312" w:eastAsia="仿宋_GB2312" w:hAnsi="仿宋_GB2312" w:cs="仿宋_GB2312"/>
          <w:sz w:val="28"/>
          <w:szCs w:val="28"/>
        </w:rPr>
        <w:t>1.2.1采购内容</w:t>
      </w:r>
      <w:bookmarkEnd w:id="7"/>
    </w:p>
    <w:p>
      <w:pPr>
        <w:pStyle w:val="MsoNormal"/>
        <w:spacing w:before="0" w:after="0" w:line="360" w:lineRule="auto"/>
        <w:rPr>
          <w:rFonts w:ascii="Times New Roman" w:eastAsia="Times New Roman" w:hAnsi="Times New Roman" w:cs="Times New Roman"/>
        </w:rPr>
      </w:pPr>
      <w:r>
        <w:rPr>
          <w:rFonts w:ascii="FangSong_GB2312" w:eastAsia="FangSong_GB2312" w:hAnsi="FangSong_GB2312" w:cs="FangSong_GB2312"/>
          <w:sz w:val="21"/>
          <w:szCs w:val="21"/>
        </w:rPr>
        <w:t>     </w:t>
      </w:r>
      <w:r>
        <w:rPr>
          <w:rFonts w:ascii="FangSong" w:eastAsia="FangSong" w:hAnsi="FangSong" w:cs="FangSong"/>
          <w:sz w:val="21"/>
          <w:szCs w:val="21"/>
        </w:rPr>
        <w:t xml:space="preserve"> </w:t>
      </w:r>
      <w:r>
        <w:rPr>
          <w:rFonts w:ascii="FangSong" w:eastAsia="FangSong" w:hAnsi="FangSong" w:cs="FangSong"/>
          <w:sz w:val="32"/>
          <w:szCs w:val="32"/>
        </w:rPr>
        <w:t>本项目为国家税务总局大连市税务局第三税务分局采购非执法类辅助性纳税服务，项目内容为按照分局规章制度和岗位职责开展工作，协助分局在职干部为纳税人办理纳税咨询、征缴服务、数据信息、后勤保障及其他相关的行政工作等加强税收征管，堵塞税收漏洞，做好税收工作等事宜。服务工作主要内容为：</w:t>
      </w:r>
      <w:r>
        <w:rPr>
          <w:rFonts w:ascii="FangSong" w:eastAsia="FangSong" w:hAnsi="FangSong" w:cs="FangSong"/>
          <w:sz w:val="32"/>
          <w:szCs w:val="32"/>
        </w:rPr>
        <w:t>1.办税引导、咨询服务、自助服务等工作 2.非执法性的办税服务事项的受理或办理3.业务资料的整理4.其他有关服务事宜。</w:t>
      </w:r>
    </w:p>
    <w:p>
      <w:pPr>
        <w:pStyle w:val="Heading3"/>
        <w:keepNext w:val="0"/>
        <w:spacing w:before="0" w:after="0" w:line="360" w:lineRule="auto"/>
        <w:rPr>
          <w:rFonts w:ascii="仿宋_GB2312" w:eastAsia="仿宋_GB2312" w:hAnsi="仿宋_GB2312" w:cs="仿宋_GB2312"/>
          <w:b/>
          <w:bCs/>
          <w:sz w:val="28"/>
          <w:szCs w:val="28"/>
        </w:rPr>
      </w:pPr>
      <w:bookmarkStart w:id="8" w:name="_Toc256000005"/>
      <w:r>
        <w:rPr>
          <w:rFonts w:ascii="仿宋_GB2312" w:eastAsia="仿宋_GB2312" w:hAnsi="仿宋_GB2312" w:cs="仿宋_GB2312"/>
          <w:sz w:val="28"/>
          <w:szCs w:val="28"/>
        </w:rPr>
        <w:t>1.2.2项目实施要求</w:t>
      </w:r>
      <w:bookmarkEnd w:id="8"/>
    </w:p>
    <w:p>
      <w:pPr>
        <w:pStyle w:val="Heading4"/>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1.2.2.1实施范围要求</w:t>
      </w:r>
    </w:p>
    <w:p>
      <w:pPr>
        <w:pStyle w:val="MsoNormal"/>
        <w:spacing w:before="0" w:after="0" w:line="360" w:lineRule="auto"/>
        <w:ind w:firstLine="420"/>
        <w:rPr>
          <w:rFonts w:ascii="Times New Roman" w:eastAsia="Times New Roman" w:hAnsi="Times New Roman" w:cs="Times New Roman"/>
        </w:rPr>
      </w:pPr>
      <w:r>
        <w:rPr>
          <w:rFonts w:ascii="FangSong" w:eastAsia="FangSong" w:hAnsi="FangSong" w:cs="FangSong"/>
          <w:sz w:val="32"/>
          <w:szCs w:val="32"/>
        </w:rPr>
        <w:t>为国家税务总局大连市税务局第三税务分局提供非执法类辅助性服务。</w:t>
      </w:r>
    </w:p>
    <w:p>
      <w:pPr>
        <w:pStyle w:val="Heading4"/>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1.2.2.2实施时间要求</w:t>
      </w:r>
    </w:p>
    <w:p>
      <w:pPr>
        <w:pStyle w:val="MsoNormal"/>
        <w:spacing w:before="0" w:after="0" w:line="360" w:lineRule="auto"/>
        <w:ind w:firstLine="420"/>
        <w:rPr>
          <w:rFonts w:ascii="Times New Roman" w:eastAsia="Times New Roman" w:hAnsi="Times New Roman" w:cs="Times New Roman"/>
        </w:rPr>
      </w:pPr>
      <w:r>
        <w:rPr>
          <w:rFonts w:ascii="FangSong" w:eastAsia="FangSong" w:hAnsi="FangSong" w:cs="FangSong"/>
          <w:sz w:val="32"/>
          <w:szCs w:val="32"/>
        </w:rPr>
        <w:t>政府采购合同约定生效之日起一年。注：本项目服务期为三年，在年度预算保障、采购内容与价格不变的前提下，需求单位可以与中标人续签采购合同。合同应当一年一签，最多可续签两次。</w:t>
      </w:r>
    </w:p>
    <w:p>
      <w:pPr>
        <w:pStyle w:val="Heading4"/>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1.2.2.3实施地点要求</w:t>
      </w:r>
    </w:p>
    <w:p>
      <w:pPr>
        <w:pStyle w:val="MsoNormal"/>
        <w:spacing w:before="0" w:after="0" w:line="360" w:lineRule="auto"/>
        <w:rPr>
          <w:rFonts w:ascii="Times New Roman" w:eastAsia="Times New Roman" w:hAnsi="Times New Roman" w:cs="Times New Roman"/>
        </w:rPr>
      </w:pPr>
      <w:r>
        <w:rPr>
          <w:rFonts w:ascii="Times New Roman" w:eastAsia="Times New Roman" w:hAnsi="Times New Roman" w:cs="Times New Roman"/>
          <w:sz w:val="21"/>
          <w:szCs w:val="21"/>
        </w:rPr>
        <w:t xml:space="preserve">  </w:t>
      </w:r>
      <w:r>
        <w:rPr>
          <w:rFonts w:ascii="FangSong" w:eastAsia="FangSong" w:hAnsi="FangSong" w:cs="FangSong"/>
          <w:sz w:val="32"/>
          <w:szCs w:val="32"/>
        </w:rPr>
        <w:t>  国家税务总局大连市税务局第三税务分局指定地点</w:t>
      </w:r>
    </w:p>
    <w:p>
      <w:pPr>
        <w:pStyle w:val="Heading1"/>
        <w:keepNext w:val="0"/>
        <w:spacing w:before="0" w:after="0" w:line="360" w:lineRule="auto"/>
        <w:jc w:val="center"/>
        <w:rPr>
          <w:rFonts w:ascii="仿宋_GB2312" w:eastAsia="仿宋_GB2312" w:hAnsi="仿宋_GB2312" w:cs="仿宋_GB2312"/>
          <w:b/>
          <w:bCs/>
          <w:sz w:val="32"/>
          <w:szCs w:val="32"/>
        </w:rPr>
      </w:pPr>
      <w:bookmarkStart w:id="9" w:name="_Toc256000006"/>
      <w:r>
        <w:rPr>
          <w:rFonts w:ascii="仿宋_GB2312" w:eastAsia="仿宋_GB2312" w:hAnsi="仿宋_GB2312" w:cs="仿宋_GB2312"/>
          <w:kern w:val="36"/>
        </w:rPr>
        <w:t>2投标/响应要求</w:t>
      </w:r>
      <w:bookmarkEnd w:id="9"/>
    </w:p>
    <w:p>
      <w:pPr>
        <w:pStyle w:val="Heading2"/>
        <w:keepNext w:val="0"/>
        <w:spacing w:before="0" w:after="0" w:line="360" w:lineRule="auto"/>
        <w:rPr>
          <w:rFonts w:ascii="仿宋_GB2312" w:eastAsia="仿宋_GB2312" w:hAnsi="仿宋_GB2312" w:cs="仿宋_GB2312"/>
          <w:b/>
          <w:bCs/>
          <w:sz w:val="28"/>
          <w:szCs w:val="28"/>
        </w:rPr>
      </w:pPr>
      <w:bookmarkStart w:id="10" w:name="_Toc256000007"/>
      <w:r>
        <w:rPr>
          <w:rFonts w:ascii="仿宋_GB2312" w:eastAsia="仿宋_GB2312" w:hAnsi="仿宋_GB2312" w:cs="仿宋_GB2312"/>
          <w:i w:val="0"/>
          <w:iCs w:val="0"/>
        </w:rPr>
        <w:t>2.1对供应商的要求</w:t>
      </w:r>
      <w:bookmarkEnd w:id="10"/>
    </w:p>
    <w:p>
      <w:pPr>
        <w:pStyle w:val="Heading3"/>
        <w:keepNext w:val="0"/>
        <w:spacing w:before="0" w:after="0" w:line="360" w:lineRule="auto"/>
        <w:rPr>
          <w:rFonts w:ascii="仿宋_GB2312" w:eastAsia="仿宋_GB2312" w:hAnsi="仿宋_GB2312" w:cs="仿宋_GB2312"/>
          <w:b/>
          <w:bCs/>
          <w:sz w:val="28"/>
          <w:szCs w:val="28"/>
        </w:rPr>
      </w:pPr>
      <w:bookmarkStart w:id="11" w:name="_Toc256000008"/>
      <w:r>
        <w:rPr>
          <w:rFonts w:ascii="仿宋_GB2312" w:eastAsia="仿宋_GB2312" w:hAnsi="仿宋_GB2312" w:cs="仿宋_GB2312"/>
          <w:sz w:val="28"/>
          <w:szCs w:val="28"/>
        </w:rPr>
        <w:t>2.1.1必备资质</w:t>
      </w:r>
      <w:bookmarkEnd w:id="11"/>
    </w:p>
    <w:p>
      <w:pPr>
        <w:pStyle w:val="Heading4"/>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2.1.1.1投标人应遵守有关国家法律、法规和条例,具备《中华人民共和国政府采购法》第二十二条的规定和本文件中规定的条件。</w:t>
      </w:r>
    </w:p>
    <w:p>
      <w:pPr>
        <w:pStyle w:val="Heading4"/>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2.1.1.2本项目的特定资格要求</w:t>
      </w:r>
    </w:p>
    <w:p>
      <w:pPr>
        <w:spacing w:before="0" w:after="0" w:line="360" w:lineRule="auto"/>
        <w:rPr>
          <w:rFonts w:ascii="仿宋_GB2312" w:eastAsia="仿宋_GB2312" w:hAnsi="仿宋_GB2312" w:cs="仿宋_GB2312"/>
          <w:sz w:val="28"/>
          <w:szCs w:val="28"/>
        </w:rPr>
      </w:pPr>
      <w:r>
        <w:rPr>
          <w:rFonts w:ascii="FangSong" w:eastAsia="FangSong" w:hAnsi="FangSong" w:cs="FangSong"/>
          <w:color w:val="000000"/>
          <w:sz w:val="32"/>
          <w:szCs w:val="32"/>
        </w:rPr>
        <w:t>无</w:t>
      </w:r>
    </w:p>
    <w:p>
      <w:pPr>
        <w:pStyle w:val="Heading3"/>
        <w:keepNext w:val="0"/>
        <w:spacing w:before="0" w:after="0" w:line="360" w:lineRule="auto"/>
        <w:rPr>
          <w:rFonts w:ascii="仿宋_GB2312" w:eastAsia="仿宋_GB2312" w:hAnsi="仿宋_GB2312" w:cs="仿宋_GB2312"/>
          <w:b/>
          <w:bCs/>
          <w:sz w:val="28"/>
          <w:szCs w:val="28"/>
        </w:rPr>
      </w:pPr>
      <w:bookmarkStart w:id="12" w:name="_Toc256000009"/>
      <w:r>
        <w:rPr>
          <w:rFonts w:ascii="仿宋_GB2312" w:eastAsia="仿宋_GB2312" w:hAnsi="仿宋_GB2312" w:cs="仿宋_GB2312"/>
          <w:sz w:val="28"/>
          <w:szCs w:val="28"/>
        </w:rPr>
        <w:t>2.1.2优选资质/优选指标</w:t>
      </w:r>
      <w:bookmarkEnd w:id="12"/>
    </w:p>
    <w:p>
      <w:pPr>
        <w:pStyle w:val="Heading4"/>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2.1.2.1相关证书</w:t>
      </w:r>
    </w:p>
    <w:tbl>
      <w:tblPr>
        <w:tblW w:w="5000" w:type="pct"/>
        <w:tblInd w:w="30" w:type="dxa"/>
        <w:tblCellMar>
          <w:top w:w="15" w:type="dxa"/>
          <w:left w:w="15" w:type="dxa"/>
          <w:bottom w:w="15" w:type="dxa"/>
          <w:right w:w="15" w:type="dxa"/>
        </w:tblCellMar>
      </w:tblPr>
      <w:tblGrid>
        <w:gridCol w:w="922"/>
        <w:gridCol w:w="2909"/>
        <w:gridCol w:w="2750"/>
        <w:gridCol w:w="2750"/>
      </w:tblGrid>
      <w:tr>
        <w:tblPrEx>
          <w:tblW w:w="5000" w:type="pct"/>
          <w:tblInd w:w="30" w:type="dxa"/>
          <w:tblCellMar>
            <w:top w:w="15" w:type="dxa"/>
            <w:left w:w="15" w:type="dxa"/>
            <w:bottom w:w="15" w:type="dxa"/>
            <w:right w:w="15" w:type="dxa"/>
          </w:tblCellMar>
        </w:tblPrEx>
        <w:tc>
          <w:tcPr>
            <w:tcW w:w="5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序号</w:t>
            </w:r>
          </w:p>
        </w:tc>
        <w:tc>
          <w:tcPr>
            <w:tcW w:w="15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证书名称</w:t>
            </w:r>
          </w:p>
        </w:tc>
        <w:tc>
          <w:tcPr>
            <w:tcW w:w="15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颁发部门</w:t>
            </w:r>
          </w:p>
        </w:tc>
        <w:tc>
          <w:tcPr>
            <w:tcW w:w="15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相关要求</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ISO9001质量管理体系认证证书</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p>
        </w:tc>
      </w:tr>
    </w:tbl>
    <w:p>
      <w:pPr>
        <w:pStyle w:val="Heading4"/>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2.1.2.2成功案例</w:t>
      </w:r>
    </w:p>
    <w:p>
      <w:pPr>
        <w:spacing w:before="0" w:after="0" w:line="360" w:lineRule="auto"/>
        <w:ind w:firstLine="480"/>
        <w:rPr>
          <w:rFonts w:ascii="Times New Roman" w:eastAsia="Times New Roman" w:hAnsi="Times New Roman" w:cs="Times New Roman"/>
        </w:rPr>
      </w:pPr>
      <w:r>
        <w:rPr>
          <w:rFonts w:ascii="FangSong" w:eastAsia="FangSong" w:hAnsi="FangSong" w:cs="FangSong"/>
          <w:color w:val="000000"/>
          <w:sz w:val="32"/>
          <w:szCs w:val="32"/>
        </w:rPr>
        <w:t>有效案例为2021年1月1日以来（以合同签订日期为准）,供应商独立承担的类似项目案例。</w:t>
      </w:r>
    </w:p>
    <w:p>
      <w:pPr>
        <w:pStyle w:val="Heading3"/>
        <w:keepNext w:val="0"/>
        <w:spacing w:before="0" w:after="0" w:line="360" w:lineRule="auto"/>
        <w:rPr>
          <w:rFonts w:ascii="仿宋_GB2312" w:eastAsia="仿宋_GB2312" w:hAnsi="仿宋_GB2312" w:cs="仿宋_GB2312"/>
          <w:b/>
          <w:bCs/>
          <w:sz w:val="28"/>
          <w:szCs w:val="28"/>
        </w:rPr>
      </w:pPr>
      <w:bookmarkStart w:id="13" w:name="_Toc256000010"/>
      <w:r>
        <w:rPr>
          <w:rFonts w:ascii="仿宋_GB2312" w:eastAsia="仿宋_GB2312" w:hAnsi="仿宋_GB2312" w:cs="仿宋_GB2312"/>
          <w:sz w:val="28"/>
          <w:szCs w:val="28"/>
        </w:rPr>
        <w:t>2.1.3是否允许联合体</w:t>
      </w:r>
      <w:bookmarkEnd w:id="13"/>
    </w:p>
    <w:p>
      <w:pPr>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否</w:t>
      </w:r>
    </w:p>
    <w:p>
      <w:pPr>
        <w:pStyle w:val="Heading3"/>
        <w:keepNext w:val="0"/>
        <w:spacing w:before="0" w:after="0" w:line="360" w:lineRule="auto"/>
        <w:rPr>
          <w:rFonts w:ascii="仿宋_GB2312" w:eastAsia="仿宋_GB2312" w:hAnsi="仿宋_GB2312" w:cs="仿宋_GB2312"/>
          <w:b/>
          <w:bCs/>
          <w:sz w:val="28"/>
          <w:szCs w:val="28"/>
        </w:rPr>
      </w:pPr>
      <w:bookmarkStart w:id="14" w:name="_Toc256000011"/>
      <w:r>
        <w:rPr>
          <w:rFonts w:ascii="仿宋_GB2312" w:eastAsia="仿宋_GB2312" w:hAnsi="仿宋_GB2312" w:cs="仿宋_GB2312"/>
          <w:sz w:val="28"/>
          <w:szCs w:val="28"/>
        </w:rPr>
        <w:t>2.1.4是否专门面向中小企业</w:t>
      </w:r>
      <w:bookmarkEnd w:id="14"/>
    </w:p>
    <w:p>
      <w:pPr>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本项目专门面向中小企业采购项目</w:t>
      </w:r>
    </w:p>
    <w:p>
      <w:pPr>
        <w:pStyle w:val="Heading2"/>
        <w:keepNext w:val="0"/>
        <w:spacing w:before="0" w:after="0" w:line="360" w:lineRule="auto"/>
        <w:rPr>
          <w:rFonts w:ascii="仿宋_GB2312" w:eastAsia="仿宋_GB2312" w:hAnsi="仿宋_GB2312" w:cs="仿宋_GB2312"/>
          <w:b/>
          <w:bCs/>
          <w:sz w:val="28"/>
          <w:szCs w:val="28"/>
        </w:rPr>
      </w:pPr>
      <w:bookmarkStart w:id="15" w:name="_Toc256000012"/>
      <w:r>
        <w:rPr>
          <w:rFonts w:ascii="仿宋_GB2312" w:eastAsia="仿宋_GB2312" w:hAnsi="仿宋_GB2312" w:cs="仿宋_GB2312"/>
          <w:i w:val="0"/>
          <w:iCs w:val="0"/>
        </w:rPr>
        <w:t>2.2技术部分投标/响应内容</w:t>
      </w:r>
      <w:bookmarkEnd w:id="15"/>
    </w:p>
    <w:p>
      <w:pPr>
        <w:pStyle w:val="Heading3"/>
        <w:keepNext w:val="0"/>
        <w:spacing w:before="0" w:after="0" w:line="360" w:lineRule="auto"/>
        <w:rPr>
          <w:rFonts w:ascii="仿宋_GB2312" w:eastAsia="仿宋_GB2312" w:hAnsi="仿宋_GB2312" w:cs="仿宋_GB2312"/>
          <w:b/>
          <w:bCs/>
          <w:sz w:val="28"/>
          <w:szCs w:val="28"/>
        </w:rPr>
      </w:pPr>
      <w:bookmarkStart w:id="16" w:name="_Toc256000013"/>
      <w:r>
        <w:rPr>
          <w:rFonts w:ascii="仿宋_GB2312" w:eastAsia="仿宋_GB2312" w:hAnsi="仿宋_GB2312" w:cs="仿宋_GB2312"/>
          <w:sz w:val="28"/>
          <w:szCs w:val="28"/>
        </w:rPr>
        <w:t>2.2.1技术投标/响应总要求</w:t>
      </w:r>
      <w:bookmarkEnd w:id="16"/>
    </w:p>
    <w:p>
      <w:pPr>
        <w:pStyle w:val="MsoNormal"/>
        <w:spacing w:before="0" w:after="0" w:line="360" w:lineRule="auto"/>
        <w:ind w:firstLine="480"/>
        <w:jc w:val="left"/>
        <w:rPr>
          <w:rFonts w:ascii="Times New Roman" w:eastAsia="Times New Roman" w:hAnsi="Times New Roman" w:cs="Times New Roman"/>
        </w:rPr>
      </w:pPr>
      <w:r>
        <w:rPr>
          <w:rFonts w:ascii="FangSong" w:eastAsia="FangSong" w:hAnsi="FangSong" w:cs="FangSong"/>
          <w:b w:val="0"/>
          <w:bCs w:val="0"/>
          <w:sz w:val="32"/>
          <w:szCs w:val="32"/>
        </w:rPr>
        <w:t>符合国家有关法律规定，在中国境内（指关境内）注册。</w:t>
      </w:r>
    </w:p>
    <w:p>
      <w:pPr>
        <w:pStyle w:val="MsoNormal"/>
        <w:spacing w:before="0" w:after="0" w:line="360" w:lineRule="auto"/>
        <w:ind w:firstLine="480"/>
        <w:jc w:val="left"/>
        <w:rPr>
          <w:rFonts w:ascii="Times New Roman" w:eastAsia="Times New Roman" w:hAnsi="Times New Roman" w:cs="Times New Roman"/>
        </w:rPr>
      </w:pPr>
      <w:r>
        <w:rPr>
          <w:rFonts w:ascii="Times New Roman" w:eastAsia="Times New Roman" w:hAnsi="Times New Roman" w:cs="Times New Roman"/>
        </w:rPr>
        <w:t> </w:t>
      </w:r>
    </w:p>
    <w:p>
      <w:pPr>
        <w:pStyle w:val="Heading3"/>
        <w:keepNext w:val="0"/>
        <w:spacing w:before="0" w:after="0" w:line="360" w:lineRule="auto"/>
        <w:rPr>
          <w:rFonts w:ascii="仿宋_GB2312" w:eastAsia="仿宋_GB2312" w:hAnsi="仿宋_GB2312" w:cs="仿宋_GB2312"/>
          <w:b/>
          <w:bCs/>
          <w:sz w:val="28"/>
          <w:szCs w:val="28"/>
        </w:rPr>
      </w:pPr>
      <w:bookmarkStart w:id="17" w:name="_Toc256000014"/>
      <w:r>
        <w:rPr>
          <w:rFonts w:ascii="仿宋_GB2312" w:eastAsia="仿宋_GB2312" w:hAnsi="仿宋_GB2312" w:cs="仿宋_GB2312"/>
          <w:sz w:val="28"/>
          <w:szCs w:val="28"/>
        </w:rPr>
        <w:t>2.2.2投标/响应方案要求</w:t>
      </w:r>
      <w:bookmarkEnd w:id="17"/>
    </w:p>
    <w:p>
      <w:pPr>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以下相关方案，若作为评审因素，则投标人应在满足★关键指标项要求的前提下，根据项目特点和采购需求，制定更为完整、详细、可操作性强的方案。</w:t>
      </w:r>
    </w:p>
    <w:p>
      <w:pPr>
        <w:pStyle w:val="MsoNormal"/>
        <w:spacing w:before="0" w:after="0" w:line="360" w:lineRule="auto"/>
        <w:ind w:firstLine="561"/>
        <w:rPr>
          <w:rFonts w:ascii="Times New Roman" w:eastAsia="Times New Roman" w:hAnsi="Times New Roman" w:cs="Times New Roman"/>
        </w:rPr>
      </w:pPr>
      <w:r>
        <w:rPr>
          <w:rFonts w:ascii="FangSong" w:eastAsia="FangSong" w:hAnsi="FangSong" w:cs="FangSong"/>
          <w:sz w:val="32"/>
          <w:szCs w:val="32"/>
        </w:rPr>
        <w:t>供应商应提供项目需求理解、服务方案、应急保障方案、管理实施方案、风险管控方案、验收响应方案。以下相关方案，若作为评审因素，应在满足★关键指标项要求的前提下，根据项目特点和采购需求，制定更为完整、详细、可操作性强的方案。</w:t>
      </w:r>
    </w:p>
    <w:p>
      <w:pPr>
        <w:pStyle w:val="MsoNormal"/>
        <w:spacing w:before="0" w:after="0" w:line="360" w:lineRule="auto"/>
        <w:ind w:firstLine="640"/>
        <w:rPr>
          <w:rFonts w:ascii="Times New Roman" w:eastAsia="Times New Roman" w:hAnsi="Times New Roman" w:cs="Times New Roman"/>
        </w:rPr>
      </w:pPr>
      <w:r>
        <w:rPr>
          <w:rFonts w:ascii="FangSong" w:eastAsia="FangSong" w:hAnsi="FangSong" w:cs="FangSong"/>
          <w:sz w:val="32"/>
          <w:szCs w:val="32"/>
        </w:rPr>
        <w:t>1.项目需求理解</w:t>
      </w:r>
    </w:p>
    <w:p>
      <w:pPr>
        <w:pStyle w:val="MsoNormal"/>
        <w:spacing w:before="0" w:after="0" w:line="360" w:lineRule="auto"/>
        <w:ind w:firstLine="640"/>
        <w:rPr>
          <w:rFonts w:ascii="Times New Roman" w:eastAsia="Times New Roman" w:hAnsi="Times New Roman" w:cs="Times New Roman"/>
        </w:rPr>
      </w:pPr>
      <w:r>
        <w:rPr>
          <w:rFonts w:ascii="FangSong" w:eastAsia="FangSong" w:hAnsi="FangSong" w:cs="FangSong"/>
          <w:sz w:val="32"/>
          <w:szCs w:val="32"/>
        </w:rPr>
        <w:t>供应商须充分理解项目采购内容，对项目概述、采购内容及要求等内容进行详细阐述和分析。</w:t>
      </w:r>
    </w:p>
    <w:p>
      <w:pPr>
        <w:pStyle w:val="MsoNormal"/>
        <w:spacing w:before="0" w:after="0" w:line="360" w:lineRule="auto"/>
        <w:ind w:firstLine="640"/>
        <w:rPr>
          <w:rFonts w:ascii="Times New Roman" w:eastAsia="Times New Roman" w:hAnsi="Times New Roman" w:cs="Times New Roman"/>
        </w:rPr>
      </w:pPr>
      <w:r>
        <w:rPr>
          <w:rFonts w:ascii="FangSong" w:eastAsia="FangSong" w:hAnsi="FangSong" w:cs="FangSong"/>
          <w:sz w:val="32"/>
          <w:szCs w:val="32"/>
        </w:rPr>
        <w:t>2.服务方案</w:t>
      </w:r>
    </w:p>
    <w:p>
      <w:pPr>
        <w:pStyle w:val="MsoNormal"/>
        <w:spacing w:before="0" w:after="0" w:line="360" w:lineRule="auto"/>
        <w:ind w:firstLine="640"/>
        <w:rPr>
          <w:rFonts w:ascii="Times New Roman" w:eastAsia="Times New Roman" w:hAnsi="Times New Roman" w:cs="Times New Roman"/>
        </w:rPr>
      </w:pPr>
      <w:r>
        <w:rPr>
          <w:rFonts w:ascii="FangSong" w:eastAsia="FangSong" w:hAnsi="FangSong" w:cs="FangSong"/>
          <w:sz w:val="32"/>
          <w:szCs w:val="32"/>
        </w:rPr>
        <w:t>供应商应详细阐述项目服务方案，方案包括但不限于服务计划、服务方式、建立健全管理制度、服务关键点和难点及应对措施等工作内容。</w:t>
      </w:r>
    </w:p>
    <w:p>
      <w:pPr>
        <w:pStyle w:val="MsoNormal"/>
        <w:spacing w:before="0" w:after="0" w:line="360" w:lineRule="auto"/>
        <w:ind w:firstLine="640"/>
        <w:rPr>
          <w:rFonts w:ascii="Times New Roman" w:eastAsia="Times New Roman" w:hAnsi="Times New Roman" w:cs="Times New Roman"/>
        </w:rPr>
      </w:pPr>
      <w:r>
        <w:rPr>
          <w:rFonts w:ascii="FangSong" w:eastAsia="FangSong" w:hAnsi="FangSong" w:cs="FangSong"/>
          <w:sz w:val="32"/>
          <w:szCs w:val="32"/>
        </w:rPr>
        <w:t>3.应急保障方案</w:t>
      </w:r>
    </w:p>
    <w:p>
      <w:pPr>
        <w:pStyle w:val="MsoNormal"/>
        <w:spacing w:before="0" w:after="0" w:line="360" w:lineRule="auto"/>
        <w:ind w:firstLine="640"/>
        <w:rPr>
          <w:rFonts w:ascii="Times New Roman" w:eastAsia="Times New Roman" w:hAnsi="Times New Roman" w:cs="Times New Roman"/>
        </w:rPr>
      </w:pPr>
      <w:r>
        <w:rPr>
          <w:rFonts w:ascii="FangSong" w:eastAsia="FangSong" w:hAnsi="FangSong" w:cs="FangSong"/>
          <w:sz w:val="32"/>
          <w:szCs w:val="32"/>
        </w:rPr>
        <w:t>供应商应根据对项目的了解，制定应急预案。方案包括但不限于重大事件应急保障措施、应急处理流程、应急事件处理、应急演练和培训等工作内容。</w:t>
      </w:r>
    </w:p>
    <w:p>
      <w:pPr>
        <w:pStyle w:val="MsoNormal"/>
        <w:spacing w:before="0" w:after="0" w:line="360" w:lineRule="auto"/>
        <w:ind w:firstLine="640"/>
        <w:rPr>
          <w:rFonts w:ascii="Times New Roman" w:eastAsia="Times New Roman" w:hAnsi="Times New Roman" w:cs="Times New Roman"/>
        </w:rPr>
      </w:pPr>
      <w:r>
        <w:rPr>
          <w:rFonts w:ascii="FangSong" w:eastAsia="FangSong" w:hAnsi="FangSong" w:cs="FangSong"/>
          <w:sz w:val="32"/>
          <w:szCs w:val="32"/>
        </w:rPr>
        <w:t>4.管理实施方案</w:t>
      </w:r>
    </w:p>
    <w:p>
      <w:pPr>
        <w:pStyle w:val="MsoNormal"/>
        <w:spacing w:before="0" w:after="0" w:line="360" w:lineRule="auto"/>
        <w:ind w:firstLine="640"/>
        <w:rPr>
          <w:rFonts w:ascii="Times New Roman" w:eastAsia="Times New Roman" w:hAnsi="Times New Roman" w:cs="Times New Roman"/>
        </w:rPr>
      </w:pPr>
      <w:r>
        <w:rPr>
          <w:rFonts w:ascii="FangSong" w:eastAsia="FangSong" w:hAnsi="FangSong" w:cs="FangSong"/>
          <w:sz w:val="32"/>
          <w:szCs w:val="32"/>
        </w:rPr>
        <w:t>供应商应根据对项目的了解，制定实施方案。方案包括但不限于服务人员日常管理、遵守规章制度、调动人员积极性以及针对服务过程中存在问题及时与采购人协调、与其他人员进行配合等工作内容。</w:t>
      </w:r>
    </w:p>
    <w:p>
      <w:pPr>
        <w:pStyle w:val="MsoNormal"/>
        <w:spacing w:before="0" w:after="0" w:line="360" w:lineRule="auto"/>
        <w:ind w:firstLine="640"/>
        <w:rPr>
          <w:rFonts w:ascii="Times New Roman" w:eastAsia="Times New Roman" w:hAnsi="Times New Roman" w:cs="Times New Roman"/>
        </w:rPr>
      </w:pPr>
      <w:r>
        <w:rPr>
          <w:rFonts w:ascii="FangSong" w:eastAsia="FangSong" w:hAnsi="FangSong" w:cs="FangSong"/>
          <w:sz w:val="32"/>
          <w:szCs w:val="32"/>
        </w:rPr>
        <w:t>5.风险管控方案</w:t>
      </w:r>
    </w:p>
    <w:p>
      <w:pPr>
        <w:pStyle w:val="MsoNormal"/>
        <w:spacing w:before="0" w:after="0" w:line="360" w:lineRule="auto"/>
        <w:ind w:firstLine="640"/>
        <w:rPr>
          <w:rFonts w:ascii="Times New Roman" w:eastAsia="Times New Roman" w:hAnsi="Times New Roman" w:cs="Times New Roman"/>
        </w:rPr>
      </w:pPr>
      <w:r>
        <w:rPr>
          <w:rFonts w:ascii="FangSong" w:eastAsia="FangSong" w:hAnsi="FangSong" w:cs="FangSong"/>
          <w:sz w:val="32"/>
          <w:szCs w:val="32"/>
        </w:rPr>
        <w:t>供应商应根据对项目的了解，制定风险管控。方案包括但不限于对国家政策变化、实施环境变化、重大技术变化等情形的风险管控内容、应对措施、时间和形式等工作内容。</w:t>
      </w:r>
    </w:p>
    <w:p>
      <w:pPr>
        <w:pStyle w:val="MsoNormal"/>
        <w:spacing w:before="0" w:after="0" w:line="360" w:lineRule="auto"/>
        <w:ind w:firstLine="640"/>
        <w:rPr>
          <w:rFonts w:ascii="Times New Roman" w:eastAsia="Times New Roman" w:hAnsi="Times New Roman" w:cs="Times New Roman"/>
        </w:rPr>
      </w:pPr>
      <w:r>
        <w:rPr>
          <w:rFonts w:ascii="FangSong" w:eastAsia="FangSong" w:hAnsi="FangSong" w:cs="FangSong"/>
          <w:sz w:val="32"/>
          <w:szCs w:val="32"/>
        </w:rPr>
        <w:t>6.履约验收方案</w:t>
      </w:r>
    </w:p>
    <w:p>
      <w:pPr>
        <w:pStyle w:val="MsoNormal"/>
        <w:spacing w:before="0" w:after="0" w:line="360" w:lineRule="auto"/>
        <w:rPr>
          <w:rFonts w:ascii="Times New Roman" w:eastAsia="Times New Roman" w:hAnsi="Times New Roman" w:cs="Times New Roman"/>
        </w:rPr>
      </w:pPr>
      <w:r>
        <w:rPr>
          <w:rFonts w:ascii="FangSong" w:eastAsia="FangSong" w:hAnsi="FangSong" w:cs="FangSong"/>
          <w:sz w:val="32"/>
          <w:szCs w:val="32"/>
        </w:rPr>
        <w:t>供应商应根据采购人对项目验收的要求，制定内容详细、可执行性高的项目验收响应方案。验收响应方案内容包括但不限于履约验收内容、流程、依据和标准等工作内容。</w:t>
      </w:r>
    </w:p>
    <w:p>
      <w:pPr>
        <w:pStyle w:val="Heading1"/>
        <w:keepNext w:val="0"/>
        <w:spacing w:before="0" w:after="0" w:line="360" w:lineRule="auto"/>
        <w:jc w:val="center"/>
        <w:rPr>
          <w:rFonts w:ascii="仿宋_GB2312" w:eastAsia="仿宋_GB2312" w:hAnsi="仿宋_GB2312" w:cs="仿宋_GB2312"/>
          <w:b/>
          <w:bCs/>
          <w:sz w:val="32"/>
          <w:szCs w:val="32"/>
        </w:rPr>
      </w:pPr>
      <w:bookmarkStart w:id="18" w:name="_Toc256000015"/>
      <w:r>
        <w:rPr>
          <w:rFonts w:ascii="仿宋_GB2312" w:eastAsia="仿宋_GB2312" w:hAnsi="仿宋_GB2312" w:cs="仿宋_GB2312"/>
          <w:kern w:val="36"/>
        </w:rPr>
        <w:t>3项目需求</w:t>
      </w:r>
      <w:bookmarkEnd w:id="18"/>
    </w:p>
    <w:p>
      <w:pPr>
        <w:pStyle w:val="Heading2"/>
        <w:keepNext w:val="0"/>
        <w:spacing w:before="0" w:after="0" w:line="360" w:lineRule="auto"/>
        <w:rPr>
          <w:rFonts w:ascii="仿宋_GB2312" w:eastAsia="仿宋_GB2312" w:hAnsi="仿宋_GB2312" w:cs="仿宋_GB2312"/>
          <w:b/>
          <w:bCs/>
          <w:sz w:val="28"/>
          <w:szCs w:val="28"/>
        </w:rPr>
      </w:pPr>
      <w:bookmarkStart w:id="19" w:name="_Toc256000016"/>
      <w:r>
        <w:rPr>
          <w:rFonts w:ascii="仿宋_GB2312" w:eastAsia="仿宋_GB2312" w:hAnsi="仿宋_GB2312" w:cs="仿宋_GB2312"/>
          <w:i w:val="0"/>
          <w:iCs w:val="0"/>
        </w:rPr>
        <w:t>3.1总体要求</w:t>
      </w:r>
      <w:bookmarkEnd w:id="19"/>
    </w:p>
    <w:p>
      <w:pPr>
        <w:pStyle w:val="Heading5"/>
        <w:keepNext/>
        <w:spacing w:before="0" w:after="0" w:line="360" w:lineRule="auto"/>
        <w:ind w:firstLine="420"/>
        <w:rPr>
          <w:rFonts w:ascii="Times New Roman" w:eastAsia="Times New Roman" w:hAnsi="Times New Roman" w:cs="Times New Roman"/>
          <w:b/>
          <w:bCs/>
          <w:sz w:val="20"/>
          <w:szCs w:val="20"/>
        </w:rPr>
      </w:pPr>
      <w:r>
        <w:rPr>
          <w:rFonts w:ascii="仿宋" w:eastAsia="仿宋" w:hAnsi="仿宋" w:cs="仿宋"/>
          <w:b w:val="0"/>
          <w:bCs w:val="0"/>
          <w:i w:val="0"/>
          <w:iCs w:val="0"/>
          <w:sz w:val="32"/>
          <w:szCs w:val="32"/>
        </w:rPr>
        <w:t> </w:t>
      </w:r>
    </w:p>
    <w:p>
      <w:pPr>
        <w:pStyle w:val="MsoNormal"/>
        <w:spacing w:before="0" w:after="0" w:line="360" w:lineRule="auto"/>
        <w:rPr>
          <w:rFonts w:ascii="Times New Roman" w:eastAsia="Times New Roman" w:hAnsi="Times New Roman" w:cs="Times New Roman"/>
        </w:rPr>
      </w:pPr>
      <w:r>
        <w:rPr>
          <w:rFonts w:ascii="仿宋_GB2312" w:eastAsia="仿宋_GB2312" w:hAnsi="仿宋_GB2312" w:cs="仿宋_GB2312"/>
          <w:sz w:val="32"/>
          <w:szCs w:val="32"/>
        </w:rPr>
        <w:t>  </w:t>
      </w:r>
      <w:r>
        <w:rPr>
          <w:rFonts w:ascii="FangSong" w:eastAsia="FangSong" w:hAnsi="FangSong" w:cs="FangSong"/>
          <w:sz w:val="32"/>
          <w:szCs w:val="32"/>
        </w:rPr>
        <w:t>按照分局规章制度和岗位职责开展工作，协助分局在职干部为纳税人办理纳税咨询、征缴服务、数据信息及其他相关的行政工作等加强税收征管，堵塞税收漏洞，做好税收工作等事宜。服务工作主要内容为：</w:t>
      </w:r>
    </w:p>
    <w:p>
      <w:pPr>
        <w:pStyle w:val="MsoNormal"/>
        <w:spacing w:before="0" w:after="0" w:line="360" w:lineRule="auto"/>
        <w:ind w:firstLine="420"/>
        <w:rPr>
          <w:rFonts w:ascii="Times New Roman" w:eastAsia="Times New Roman" w:hAnsi="Times New Roman" w:cs="Times New Roman"/>
        </w:rPr>
      </w:pPr>
      <w:r>
        <w:rPr>
          <w:rFonts w:ascii="FangSong" w:eastAsia="FangSong" w:hAnsi="FangSong" w:cs="FangSong"/>
          <w:sz w:val="32"/>
          <w:szCs w:val="32"/>
        </w:rPr>
        <w:t>（1）办税引导辅助服务。根据纳税人缴费人的业务需求，引导纳税人缴费人前往正确的涉税窗口办理业务；根据纳税人缴费人的业务需要为其提供相应的办税表单。</w:t>
      </w:r>
    </w:p>
    <w:p>
      <w:pPr>
        <w:pStyle w:val="MsoNormal"/>
        <w:spacing w:before="0" w:after="0" w:line="360" w:lineRule="auto"/>
        <w:ind w:firstLine="420"/>
        <w:rPr>
          <w:rFonts w:ascii="Times New Roman" w:eastAsia="Times New Roman" w:hAnsi="Times New Roman" w:cs="Times New Roman"/>
        </w:rPr>
      </w:pPr>
      <w:r>
        <w:rPr>
          <w:rFonts w:ascii="FangSong" w:eastAsia="FangSong" w:hAnsi="FangSong" w:cs="FangSong"/>
          <w:sz w:val="32"/>
          <w:szCs w:val="32"/>
        </w:rPr>
        <w:t>（2）信息补录辅助服务。根据纳税人(缴费人)提供的申请、申报等表单，进行相关数据的登记录入。</w:t>
      </w:r>
    </w:p>
    <w:p>
      <w:pPr>
        <w:pStyle w:val="MsoNormal"/>
        <w:spacing w:before="0" w:after="0" w:line="360" w:lineRule="auto"/>
        <w:ind w:firstLine="420"/>
        <w:rPr>
          <w:rFonts w:ascii="Times New Roman" w:eastAsia="Times New Roman" w:hAnsi="Times New Roman" w:cs="Times New Roman"/>
        </w:rPr>
      </w:pPr>
      <w:r>
        <w:rPr>
          <w:rFonts w:ascii="FangSong" w:eastAsia="FangSong" w:hAnsi="FangSong" w:cs="FangSong"/>
          <w:sz w:val="32"/>
          <w:szCs w:val="32"/>
        </w:rPr>
        <w:t>（3）纳税咨询辅助服务。根据采购人的统筹安排，解答纳税人(缴费人)及社会公众提出的税收法律法规、征管规定、办税流程、涉税系统操作等各类税收业务咨询。</w:t>
      </w:r>
    </w:p>
    <w:p>
      <w:pPr>
        <w:pStyle w:val="MsoNormal"/>
        <w:spacing w:before="0" w:after="0" w:line="360" w:lineRule="auto"/>
        <w:ind w:firstLine="420"/>
        <w:rPr>
          <w:rFonts w:ascii="Times New Roman" w:eastAsia="Times New Roman" w:hAnsi="Times New Roman" w:cs="Times New Roman"/>
        </w:rPr>
      </w:pPr>
      <w:r>
        <w:rPr>
          <w:rFonts w:ascii="FangSong" w:eastAsia="FangSong" w:hAnsi="FangSong" w:cs="FangSong"/>
          <w:sz w:val="32"/>
          <w:szCs w:val="32"/>
        </w:rPr>
        <w:t>（4）业务辅导辅助服务。协助分局在职干部对大连市内四区土地、房屋交易所涉及的税收管理工作，包括受理税收业务信息、收缴税款并开具完税证明等。辅导纳税人缴费人进行相关表单的正确填写； 引导纳税人缴费人使用电子税务局、自助办税终端等进行信息确认、综合事项报告、税费缴纳等辅导服务；辅导纳税人缴费人进行税费申报、发票领用、发票代开、三方协议签订等相关业务；提高纳税人缴费人的网上办事意识。辅导纳税人（缴费人）通过电子税务局、自助办税终端等渠道办理税费事项。</w:t>
      </w:r>
    </w:p>
    <w:p>
      <w:pPr>
        <w:pStyle w:val="MsoNormal"/>
        <w:spacing w:before="0" w:after="0" w:line="360" w:lineRule="auto"/>
        <w:ind w:firstLine="420"/>
        <w:rPr>
          <w:rFonts w:ascii="Times New Roman" w:eastAsia="Times New Roman" w:hAnsi="Times New Roman" w:cs="Times New Roman"/>
        </w:rPr>
      </w:pPr>
      <w:r>
        <w:rPr>
          <w:rFonts w:ascii="FangSong" w:eastAsia="FangSong" w:hAnsi="FangSong" w:cs="FangSong"/>
          <w:sz w:val="32"/>
          <w:szCs w:val="32"/>
        </w:rPr>
        <w:t>（5）税法宣传辅助服务。根据采购人的统筹安排，开展税（费）政策、税法等内容宣传。</w:t>
      </w:r>
    </w:p>
    <w:p>
      <w:pPr>
        <w:pStyle w:val="MsoNormal"/>
        <w:spacing w:before="0" w:after="0" w:line="360" w:lineRule="auto"/>
        <w:ind w:firstLine="420"/>
        <w:rPr>
          <w:rFonts w:ascii="Times New Roman" w:eastAsia="Times New Roman" w:hAnsi="Times New Roman" w:cs="Times New Roman"/>
        </w:rPr>
      </w:pPr>
      <w:r>
        <w:rPr>
          <w:rFonts w:ascii="FangSong" w:eastAsia="FangSong" w:hAnsi="FangSong" w:cs="FangSong"/>
          <w:sz w:val="32"/>
          <w:szCs w:val="32"/>
        </w:rPr>
        <w:t>（6）档案归集整理辅助服务。按照各类档案资料（涉密资料除外） 的归档范围、归档要求协助进行分类、扫描、装订、排列、编号、编目、装盒。</w:t>
      </w:r>
    </w:p>
    <w:p>
      <w:pPr>
        <w:pStyle w:val="MsoNormal"/>
        <w:spacing w:before="0" w:after="0" w:line="360" w:lineRule="auto"/>
        <w:ind w:firstLine="420"/>
        <w:rPr>
          <w:rFonts w:ascii="Times New Roman" w:eastAsia="Times New Roman" w:hAnsi="Times New Roman" w:cs="Times New Roman"/>
        </w:rPr>
      </w:pPr>
      <w:r>
        <w:rPr>
          <w:rFonts w:ascii="FangSong" w:eastAsia="FangSong" w:hAnsi="FangSong" w:cs="FangSong"/>
          <w:sz w:val="32"/>
          <w:szCs w:val="32"/>
        </w:rPr>
        <w:t>（7）文印辅助服务。收发文的分类、保管、领取，正式发文、信息简报、税收分析、会议材料、汇报材料的排版、打印、盖章、装订和归档， 信件、快递的收发、登记、跟踪(包括但不限于 EMS)，各类会议会标的制作以及对接物业工作，以及完成领导安排的其他工作。</w:t>
      </w:r>
    </w:p>
    <w:p>
      <w:pPr>
        <w:pStyle w:val="MsoNormal"/>
        <w:spacing w:before="0" w:after="0" w:line="360" w:lineRule="auto"/>
        <w:ind w:firstLine="420"/>
        <w:rPr>
          <w:rFonts w:ascii="Times New Roman" w:eastAsia="Times New Roman" w:hAnsi="Times New Roman" w:cs="Times New Roman"/>
        </w:rPr>
      </w:pPr>
      <w:r>
        <w:rPr>
          <w:rFonts w:ascii="FangSong" w:eastAsia="FangSong" w:hAnsi="FangSong" w:cs="FangSong"/>
          <w:sz w:val="32"/>
          <w:szCs w:val="32"/>
        </w:rPr>
        <w:t>（8）其他服务。协助完成采购人交办的其他服务事项。</w:t>
      </w:r>
    </w:p>
    <w:p>
      <w:pPr>
        <w:spacing w:before="0" w:after="0" w:line="360" w:lineRule="auto"/>
        <w:rPr>
          <w:rFonts w:ascii="FangSong_GB2312" w:eastAsia="FangSong_GB2312" w:hAnsi="FangSong_GB2312" w:cs="FangSong_GB2312"/>
          <w:sz w:val="28"/>
          <w:szCs w:val="28"/>
        </w:rPr>
      </w:pPr>
      <w:r>
        <w:rPr>
          <w:rFonts w:ascii="FangSong_GB2312" w:eastAsia="FangSong_GB2312" w:hAnsi="FangSong_GB2312" w:cs="FangSong_GB2312"/>
          <w:sz w:val="28"/>
          <w:szCs w:val="28"/>
        </w:rPr>
        <w:t> </w:t>
      </w:r>
    </w:p>
    <w:p>
      <w:pPr>
        <w:pStyle w:val="Heading2"/>
        <w:keepNext w:val="0"/>
        <w:spacing w:before="0" w:after="0" w:line="360" w:lineRule="auto"/>
        <w:rPr>
          <w:rFonts w:ascii="仿宋_GB2312" w:eastAsia="仿宋_GB2312" w:hAnsi="仿宋_GB2312" w:cs="仿宋_GB2312"/>
          <w:b/>
          <w:bCs/>
          <w:sz w:val="28"/>
          <w:szCs w:val="28"/>
        </w:rPr>
      </w:pPr>
      <w:bookmarkStart w:id="20" w:name="_Toc256000017"/>
      <w:r>
        <w:rPr>
          <w:rFonts w:ascii="仿宋_GB2312" w:eastAsia="仿宋_GB2312" w:hAnsi="仿宋_GB2312" w:cs="仿宋_GB2312"/>
          <w:i w:val="0"/>
          <w:iCs w:val="0"/>
        </w:rPr>
        <w:t>3.2服务内容和要求</w:t>
      </w:r>
      <w:bookmarkEnd w:id="20"/>
    </w:p>
    <w:p>
      <w:pPr>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采购文件（技术部分）中有标注★号的，为必备服务要求，必须满足，如未作出响应，将导致响应无效；#为重要服务内容、△为一般服务内容。</w:t>
      </w:r>
    </w:p>
    <w:p>
      <w:pPr>
        <w:pStyle w:val="Heading3"/>
        <w:keepNext w:val="0"/>
        <w:spacing w:before="0" w:after="0" w:line="360" w:lineRule="auto"/>
        <w:rPr>
          <w:rFonts w:ascii="仿宋_GB2312" w:eastAsia="仿宋_GB2312" w:hAnsi="仿宋_GB2312" w:cs="仿宋_GB2312"/>
          <w:b/>
          <w:bCs/>
          <w:sz w:val="28"/>
          <w:szCs w:val="28"/>
        </w:rPr>
      </w:pPr>
      <w:bookmarkStart w:id="21" w:name="_Toc256000018"/>
      <w:r>
        <w:rPr>
          <w:rFonts w:ascii="仿宋_GB2312" w:eastAsia="仿宋_GB2312" w:hAnsi="仿宋_GB2312" w:cs="仿宋_GB2312"/>
          <w:sz w:val="28"/>
          <w:szCs w:val="28"/>
        </w:rPr>
        <w:t>3.2.1技术和服务客观指标</w:t>
      </w:r>
      <w:bookmarkEnd w:id="21"/>
    </w:p>
    <w:p>
      <w:pPr>
        <w:pStyle w:val="Heading4"/>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3.2.1.1服务1</w:t>
      </w:r>
    </w:p>
    <w:tbl>
      <w:tblPr>
        <w:tblW w:w="5000" w:type="pct"/>
        <w:tblInd w:w="30" w:type="dxa"/>
        <w:tblCellMar>
          <w:top w:w="15" w:type="dxa"/>
          <w:left w:w="15" w:type="dxa"/>
          <w:bottom w:w="15" w:type="dxa"/>
          <w:right w:w="15" w:type="dxa"/>
        </w:tblCellMar>
      </w:tblPr>
      <w:tblGrid>
        <w:gridCol w:w="496"/>
        <w:gridCol w:w="1124"/>
        <w:gridCol w:w="2174"/>
        <w:gridCol w:w="12884"/>
        <w:gridCol w:w="707"/>
        <w:gridCol w:w="1761"/>
      </w:tblGrid>
      <w:tr>
        <w:tblPrEx>
          <w:tblW w:w="5000" w:type="pct"/>
          <w:tblInd w:w="30" w:type="dxa"/>
          <w:tblCellMar>
            <w:top w:w="15" w:type="dxa"/>
            <w:left w:w="15" w:type="dxa"/>
            <w:bottom w:w="15" w:type="dxa"/>
            <w:right w:w="15" w:type="dxa"/>
          </w:tblCellMar>
        </w:tblPrEx>
        <w:tc>
          <w:tcPr>
            <w:tcW w:w="5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序号</w:t>
            </w:r>
          </w:p>
        </w:tc>
        <w:tc>
          <w:tcPr>
            <w:tcW w:w="9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指标种类</w:t>
            </w:r>
          </w:p>
        </w:tc>
        <w:tc>
          <w:tcPr>
            <w:tcW w:w="9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指标名称</w:t>
            </w:r>
          </w:p>
        </w:tc>
        <w:tc>
          <w:tcPr>
            <w:tcW w:w="9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指标内容</w:t>
            </w:r>
          </w:p>
        </w:tc>
        <w:tc>
          <w:tcPr>
            <w:tcW w:w="9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重要性</w:t>
            </w:r>
          </w:p>
        </w:tc>
        <w:tc>
          <w:tcPr>
            <w:tcW w:w="9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是否需要证明材料</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技术和服务</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办税引导辅助服务</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供应商提供的服务人员应根据纳税人缴费人的业务需求，引导纳税人缴费人前往正确的涉税窗口办理业务。</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技术和服务</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办税引导辅助服务</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根据纳税人缴费人的业务需要为其提供相应的办税表单。</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3</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技术和服务</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信息补录辅助服务</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根据纳税人(缴费人)提供的申请、申报等表单，进行相关数据的登记录入。</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4</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技术和服务</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纳税咨询辅助服务</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根据采购人的统筹安排，解答纳税人(缴费人)及社会公众提出的税收法律法规、征管规定、办税流程、涉税系统操作等各类税收业务咨询。</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5</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技术和服务</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业务辅导辅助服务</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协助分局在职干部对大连市内四区土地、房屋交易所涉及的税收管理工作，包括受理税收业务信息、收缴税款并开具完税证明等。</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6</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技术和服务</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业务辅导辅助服务</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辅导纳税人缴费人进行相关表单的正确填写。</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7</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技术和服务</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业务辅导辅助服务</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引导纳税人缴费人使用电子税务局、自助办税终端等进行信息确认、综合事项报告、税费缴纳等辅导服务。</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8</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技术和服务</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业务辅导辅助服务</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辅导纳税人缴费人进行税费申报、发票领用、发票代开、三方协议签订等相关业务。</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9</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技术和服务</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业务辅导辅助服务</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提高纳税人缴费人的网上办事意识。辅导纳税人（缴费人）通过电子税务局、自助办税终端等渠道办理税费事项。</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10</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技术和服务</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税法宣传辅助服务</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根据采购人的统筹安排，开展税（费）政策、税法等内容宣传。</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技术和服务</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档案归集整理辅助服务</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按照各类档案资料（涉密资料除外） 的归档范围、归档要求协助进行分类、扫描、装订、排列、编号、编目、装盒。</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12</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技术和服务</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文印辅助服务</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收发文的分类、保管、领取，正式发文、信息简报、税收分析、会议材料、汇报材料的排版、打印、盖章、装订和归档， 信件、快递的收发、登记、跟踪(包括但不限于 EMS)，各类会议会标的制作以及对接物业工作，以及完成领导安排的其他工作。</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13</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技术和服务</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人员服务质量</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承诺服务期间服务有效投诉≤1％，处理率 100％。</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14</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技术和服务</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人员服务质量</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承诺服务期间纳税人缴费人满意率&gt;98％。</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15</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技术和服务</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其他服务</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协助完成采购人交办的其他服务事项。</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bl>
    <w:p>
      <w:pPr>
        <w:pStyle w:val="Heading1"/>
        <w:keepNext w:val="0"/>
        <w:spacing w:before="0" w:after="0" w:line="360" w:lineRule="auto"/>
        <w:jc w:val="center"/>
        <w:rPr>
          <w:rFonts w:ascii="仿宋_GB2312" w:eastAsia="仿宋_GB2312" w:hAnsi="仿宋_GB2312" w:cs="仿宋_GB2312"/>
          <w:b/>
          <w:bCs/>
          <w:sz w:val="32"/>
          <w:szCs w:val="32"/>
        </w:rPr>
      </w:pPr>
      <w:bookmarkStart w:id="22" w:name="_Toc256000019"/>
      <w:r>
        <w:rPr>
          <w:rFonts w:ascii="仿宋_GB2312" w:eastAsia="仿宋_GB2312" w:hAnsi="仿宋_GB2312" w:cs="仿宋_GB2312"/>
          <w:kern w:val="36"/>
        </w:rPr>
        <w:t>4人员要求</w:t>
      </w:r>
      <w:bookmarkEnd w:id="22"/>
    </w:p>
    <w:p>
      <w:pPr>
        <w:pStyle w:val="Heading2"/>
        <w:keepNext w:val="0"/>
        <w:spacing w:before="0" w:after="0" w:line="360" w:lineRule="auto"/>
        <w:rPr>
          <w:rFonts w:ascii="仿宋_GB2312" w:eastAsia="仿宋_GB2312" w:hAnsi="仿宋_GB2312" w:cs="仿宋_GB2312"/>
          <w:b/>
          <w:bCs/>
          <w:sz w:val="28"/>
          <w:szCs w:val="28"/>
        </w:rPr>
      </w:pPr>
      <w:bookmarkStart w:id="23" w:name="_Toc256000020"/>
      <w:r>
        <w:rPr>
          <w:rFonts w:ascii="仿宋_GB2312" w:eastAsia="仿宋_GB2312" w:hAnsi="仿宋_GB2312" w:cs="仿宋_GB2312"/>
          <w:i w:val="0"/>
          <w:iCs w:val="0"/>
        </w:rPr>
        <w:t>4.1总体要求</w:t>
      </w:r>
      <w:bookmarkEnd w:id="23"/>
    </w:p>
    <w:p>
      <w:pPr>
        <w:pStyle w:val="MsoNormal"/>
        <w:spacing w:before="0" w:after="0" w:line="360" w:lineRule="auto"/>
        <w:rPr>
          <w:rFonts w:ascii="Times New Roman" w:eastAsia="Times New Roman" w:hAnsi="Times New Roman" w:cs="Times New Roman"/>
        </w:rPr>
      </w:pPr>
      <w:r>
        <w:rPr>
          <w:rFonts w:ascii="FangSong_GB2312" w:eastAsia="FangSong_GB2312" w:hAnsi="FangSong_GB2312" w:cs="FangSong_GB2312"/>
          <w:sz w:val="21"/>
          <w:szCs w:val="21"/>
        </w:rPr>
        <w:t xml:space="preserve">    </w:t>
      </w:r>
      <w:r>
        <w:rPr>
          <w:rFonts w:ascii="FangSong" w:eastAsia="FangSong" w:hAnsi="FangSong" w:cs="FangSong"/>
          <w:sz w:val="32"/>
          <w:szCs w:val="32"/>
        </w:rPr>
        <w:t>辅助性纳税服务人员不少于</w:t>
      </w:r>
      <w:r>
        <w:rPr>
          <w:rFonts w:ascii="FangSong" w:eastAsia="FangSong" w:hAnsi="FangSong" w:cs="FangSong"/>
          <w:sz w:val="32"/>
          <w:szCs w:val="32"/>
        </w:rPr>
        <w:t>7</w:t>
      </w:r>
      <w:r>
        <w:rPr>
          <w:rFonts w:ascii="FangSong" w:eastAsia="FangSong" w:hAnsi="FangSong" w:cs="FangSong"/>
          <w:sz w:val="32"/>
          <w:szCs w:val="32"/>
        </w:rPr>
        <w:t>0人，提供一年内项目团队的人员稳定率≧75%。</w:t>
      </w:r>
    </w:p>
    <w:p>
      <w:pPr>
        <w:pStyle w:val="Heading2"/>
        <w:keepNext w:val="0"/>
        <w:spacing w:before="0" w:after="0" w:line="360" w:lineRule="auto"/>
        <w:rPr>
          <w:rFonts w:ascii="仿宋_GB2312" w:eastAsia="仿宋_GB2312" w:hAnsi="仿宋_GB2312" w:cs="仿宋_GB2312"/>
          <w:b/>
          <w:bCs/>
          <w:sz w:val="28"/>
          <w:szCs w:val="28"/>
        </w:rPr>
      </w:pPr>
      <w:bookmarkStart w:id="24" w:name="_Toc256000021"/>
      <w:r>
        <w:rPr>
          <w:rFonts w:ascii="仿宋_GB2312" w:eastAsia="仿宋_GB2312" w:hAnsi="仿宋_GB2312" w:cs="仿宋_GB2312"/>
          <w:i w:val="0"/>
          <w:iCs w:val="0"/>
        </w:rPr>
        <w:t>4.2管理团队</w:t>
      </w:r>
      <w:bookmarkEnd w:id="24"/>
    </w:p>
    <w:p>
      <w:pPr>
        <w:pStyle w:val="Heading2"/>
        <w:keepNext w:val="0"/>
        <w:spacing w:before="0" w:after="0" w:line="360" w:lineRule="auto"/>
        <w:rPr>
          <w:rFonts w:ascii="仿宋_GB2312" w:eastAsia="仿宋_GB2312" w:hAnsi="仿宋_GB2312" w:cs="仿宋_GB2312"/>
          <w:b/>
          <w:bCs/>
          <w:sz w:val="28"/>
          <w:szCs w:val="28"/>
        </w:rPr>
      </w:pPr>
      <w:bookmarkStart w:id="25" w:name="_Toc256000022"/>
      <w:r>
        <w:rPr>
          <w:rFonts w:ascii="仿宋_GB2312" w:eastAsia="仿宋_GB2312" w:hAnsi="仿宋_GB2312" w:cs="仿宋_GB2312"/>
          <w:i w:val="0"/>
          <w:iCs w:val="0"/>
        </w:rPr>
        <w:t>4.3技术团队</w:t>
      </w:r>
      <w:bookmarkEnd w:id="25"/>
    </w:p>
    <w:p>
      <w:pPr>
        <w:pStyle w:val="MsoNormal"/>
        <w:spacing w:before="0" w:after="0" w:line="360" w:lineRule="auto"/>
        <w:ind w:firstLine="420"/>
        <w:rPr>
          <w:rFonts w:ascii="Times New Roman" w:eastAsia="Times New Roman" w:hAnsi="Times New Roman" w:cs="Times New Roman"/>
        </w:rPr>
      </w:pPr>
      <w:r>
        <w:rPr>
          <w:rFonts w:ascii="FangSong" w:eastAsia="FangSong" w:hAnsi="FangSong" w:cs="FangSong"/>
          <w:sz w:val="32"/>
          <w:szCs w:val="32"/>
        </w:rPr>
        <w:t>1.拥护中国共产党的领导，政治立场坚定，遵纪守法，品行端正，无犯罪记录。</w:t>
      </w:r>
    </w:p>
    <w:p>
      <w:pPr>
        <w:pStyle w:val="MsoNormal"/>
        <w:spacing w:before="0" w:after="0" w:line="360" w:lineRule="auto"/>
        <w:ind w:firstLine="420"/>
        <w:rPr>
          <w:rFonts w:ascii="Times New Roman" w:eastAsia="Times New Roman" w:hAnsi="Times New Roman" w:cs="Times New Roman"/>
        </w:rPr>
      </w:pPr>
      <w:r>
        <w:rPr>
          <w:rFonts w:ascii="FangSong" w:eastAsia="FangSong" w:hAnsi="FangSong" w:cs="FangSong"/>
          <w:sz w:val="32"/>
          <w:szCs w:val="32"/>
        </w:rPr>
        <w:t>2.具备良好的思想素质和道德品质，作风正派。</w:t>
      </w:r>
    </w:p>
    <w:p>
      <w:pPr>
        <w:pStyle w:val="MsoNormal"/>
        <w:spacing w:before="0" w:after="0" w:line="360" w:lineRule="auto"/>
        <w:ind w:firstLine="420"/>
        <w:rPr>
          <w:rFonts w:ascii="Times New Roman" w:eastAsia="Times New Roman" w:hAnsi="Times New Roman" w:cs="Times New Roman"/>
        </w:rPr>
      </w:pPr>
      <w:r>
        <w:rPr>
          <w:rFonts w:ascii="FangSong" w:eastAsia="FangSong" w:hAnsi="FangSong" w:cs="FangSong"/>
          <w:sz w:val="32"/>
          <w:szCs w:val="32"/>
        </w:rPr>
        <w:t>3.年龄一般应在20周岁以上，身体健康，五官端正，形象气质佳，会讲普通话，能熟练使用电脑，具有在税务系统办税服务厅等工作经验者优先。</w:t>
      </w:r>
    </w:p>
    <w:p>
      <w:pPr>
        <w:pStyle w:val="MsoNormal"/>
        <w:spacing w:before="0" w:after="0" w:line="360" w:lineRule="auto"/>
        <w:ind w:firstLine="420"/>
        <w:rPr>
          <w:rFonts w:ascii="Times New Roman" w:eastAsia="Times New Roman" w:hAnsi="Times New Roman" w:cs="Times New Roman"/>
        </w:rPr>
      </w:pPr>
      <w:r>
        <w:rPr>
          <w:rFonts w:ascii="FangSong" w:eastAsia="FangSong" w:hAnsi="FangSong" w:cs="FangSong"/>
          <w:sz w:val="32"/>
          <w:szCs w:val="32"/>
        </w:rPr>
        <w:t>4.大学专科（含专科）以上学历，会计学、经济学、汉语言类、计算机类等专业者优先；为保证办税服务厅非执法类辅助性服务的延续性，在合法合理合规的情况下优先接收使用采购人现有相关工作人员。</w:t>
      </w:r>
    </w:p>
    <w:p>
      <w:pPr>
        <w:pStyle w:val="MsoNormal"/>
        <w:spacing w:before="0" w:after="0" w:line="360" w:lineRule="auto"/>
        <w:ind w:firstLine="420"/>
        <w:rPr>
          <w:rFonts w:ascii="Times New Roman" w:eastAsia="Times New Roman" w:hAnsi="Times New Roman" w:cs="Times New Roman"/>
        </w:rPr>
      </w:pPr>
      <w:r>
        <w:rPr>
          <w:rFonts w:ascii="FangSong" w:eastAsia="FangSong" w:hAnsi="FangSong" w:cs="FangSong"/>
          <w:sz w:val="32"/>
          <w:szCs w:val="32"/>
        </w:rPr>
        <w:t>5.遵守分局工作制度和纪律，严格按照合同约定履行工作职责，秉公办事，服从管理。</w:t>
      </w:r>
    </w:p>
    <w:p>
      <w:pPr>
        <w:pStyle w:val="MsoNormal"/>
        <w:spacing w:before="0" w:after="0" w:line="360" w:lineRule="auto"/>
        <w:ind w:firstLine="420"/>
        <w:rPr>
          <w:rFonts w:ascii="Times New Roman" w:eastAsia="Times New Roman" w:hAnsi="Times New Roman" w:cs="Times New Roman"/>
        </w:rPr>
      </w:pPr>
      <w:r>
        <w:rPr>
          <w:rFonts w:ascii="FangSong" w:eastAsia="FangSong" w:hAnsi="FangSong" w:cs="FangSong"/>
          <w:sz w:val="32"/>
          <w:szCs w:val="32"/>
        </w:rPr>
        <w:t>6.有较强的服务意识、责任意识和学习能力，积极主动热情，执行力强。</w:t>
      </w:r>
    </w:p>
    <w:p>
      <w:pPr>
        <w:pStyle w:val="MsoNormal"/>
        <w:spacing w:before="0" w:after="0" w:line="360" w:lineRule="auto"/>
        <w:ind w:firstLine="420"/>
        <w:rPr>
          <w:rFonts w:ascii="Times New Roman" w:eastAsia="Times New Roman" w:hAnsi="Times New Roman" w:cs="Times New Roman"/>
        </w:rPr>
      </w:pPr>
      <w:r>
        <w:rPr>
          <w:rFonts w:ascii="FangSong" w:eastAsia="FangSong" w:hAnsi="FangSong" w:cs="FangSong"/>
          <w:sz w:val="32"/>
          <w:szCs w:val="32"/>
        </w:rPr>
        <w:t>7.能严格遵守分局有关信息安全的保密规定，严守保密纪律，有效避免信息安全泄密事件的发生。</w:t>
      </w:r>
    </w:p>
    <w:p>
      <w:pPr>
        <w:pStyle w:val="MsoNormal"/>
        <w:spacing w:before="0" w:after="0" w:line="360" w:lineRule="auto"/>
        <w:ind w:firstLine="420"/>
        <w:rPr>
          <w:rFonts w:ascii="Times New Roman" w:eastAsia="Times New Roman" w:hAnsi="Times New Roman" w:cs="Times New Roman"/>
        </w:rPr>
      </w:pPr>
      <w:r>
        <w:rPr>
          <w:rFonts w:ascii="FangSong" w:eastAsia="FangSong" w:hAnsi="FangSong" w:cs="FangSong"/>
          <w:sz w:val="32"/>
          <w:szCs w:val="32"/>
        </w:rPr>
        <w:t>8</w:t>
      </w:r>
      <w:r>
        <w:rPr>
          <w:rFonts w:ascii="FangSong" w:eastAsia="FangSong" w:hAnsi="FangSong" w:cs="FangSong"/>
          <w:sz w:val="32"/>
          <w:szCs w:val="32"/>
        </w:rPr>
        <w:t>.工作时间按国家劳动法及工作单位相关规定执行， 特殊情况在双方签订合同时约定。</w:t>
      </w:r>
    </w:p>
    <w:p>
      <w:pPr>
        <w:pStyle w:val="MsoNormal"/>
        <w:spacing w:before="0" w:after="0" w:line="360" w:lineRule="auto"/>
        <w:rPr>
          <w:rFonts w:ascii="Times New Roman" w:eastAsia="Times New Roman" w:hAnsi="Times New Roman" w:cs="Times New Roman"/>
        </w:rPr>
      </w:pPr>
      <w:r>
        <w:rPr>
          <w:rFonts w:ascii="FangSong" w:eastAsia="FangSong" w:hAnsi="FangSong" w:cs="FangSong"/>
          <w:sz w:val="32"/>
          <w:szCs w:val="32"/>
        </w:rPr>
        <w:t>    9.供应商提供的分局非执法类辅助性服务人员要严格遵守廉洁纪律。</w:t>
      </w:r>
    </w:p>
    <w:p>
      <w:pPr>
        <w:pStyle w:val="MsoNormal"/>
        <w:spacing w:before="0" w:after="0" w:line="360" w:lineRule="auto"/>
        <w:ind w:firstLine="640"/>
        <w:rPr>
          <w:rFonts w:ascii="Times New Roman" w:eastAsia="Times New Roman" w:hAnsi="Times New Roman" w:cs="Times New Roman"/>
        </w:rPr>
      </w:pPr>
      <w:r>
        <w:rPr>
          <w:rFonts w:ascii="Times New Roman" w:eastAsia="Times New Roman" w:hAnsi="Times New Roman" w:cs="Times New Roman"/>
        </w:rPr>
        <w:t> </w:t>
      </w:r>
    </w:p>
    <w:p>
      <w:pPr>
        <w:pStyle w:val="Heading2"/>
        <w:keepNext w:val="0"/>
        <w:spacing w:before="0" w:after="0" w:line="360" w:lineRule="auto"/>
        <w:rPr>
          <w:rFonts w:ascii="仿宋_GB2312" w:eastAsia="仿宋_GB2312" w:hAnsi="仿宋_GB2312" w:cs="仿宋_GB2312"/>
          <w:b/>
          <w:bCs/>
          <w:sz w:val="28"/>
          <w:szCs w:val="28"/>
        </w:rPr>
      </w:pPr>
      <w:bookmarkStart w:id="26" w:name="_Toc256000023"/>
      <w:r>
        <w:rPr>
          <w:rFonts w:ascii="仿宋_GB2312" w:eastAsia="仿宋_GB2312" w:hAnsi="仿宋_GB2312" w:cs="仿宋_GB2312"/>
          <w:i w:val="0"/>
          <w:iCs w:val="0"/>
        </w:rPr>
        <w:t>4.4优选资质/优选指标</w:t>
      </w:r>
      <w:bookmarkEnd w:id="26"/>
    </w:p>
    <w:tbl>
      <w:tblPr>
        <w:tblW w:w="5000" w:type="pct"/>
        <w:tblInd w:w="30" w:type="dxa"/>
        <w:tblCellMar>
          <w:top w:w="15" w:type="dxa"/>
          <w:left w:w="15" w:type="dxa"/>
          <w:bottom w:w="15" w:type="dxa"/>
          <w:right w:w="15" w:type="dxa"/>
        </w:tblCellMar>
      </w:tblPr>
      <w:tblGrid>
        <w:gridCol w:w="727"/>
        <w:gridCol w:w="1519"/>
        <w:gridCol w:w="1519"/>
        <w:gridCol w:w="3749"/>
        <w:gridCol w:w="1816"/>
      </w:tblGrid>
      <w:tr>
        <w:tblPrEx>
          <w:tblW w:w="5000" w:type="pct"/>
          <w:tblInd w:w="30" w:type="dxa"/>
          <w:tblCellMar>
            <w:top w:w="15" w:type="dxa"/>
            <w:left w:w="15" w:type="dxa"/>
            <w:bottom w:w="15" w:type="dxa"/>
            <w:right w:w="15" w:type="dxa"/>
          </w:tblCellMar>
        </w:tblPrEx>
        <w:tc>
          <w:tcPr>
            <w:tcW w:w="5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序号</w:t>
            </w:r>
          </w:p>
        </w:tc>
        <w:tc>
          <w:tcPr>
            <w:tcW w:w="11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人员类别</w:t>
            </w:r>
          </w:p>
        </w:tc>
        <w:tc>
          <w:tcPr>
            <w:tcW w:w="11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人员岗位</w:t>
            </w:r>
          </w:p>
        </w:tc>
        <w:tc>
          <w:tcPr>
            <w:tcW w:w="11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人员要求</w:t>
            </w:r>
          </w:p>
        </w:tc>
        <w:tc>
          <w:tcPr>
            <w:tcW w:w="11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是否作为加分项</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其他人员</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服务人员</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具有1年及以上税务等相关服务工作经验</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bl>
    <w:p>
      <w:pPr>
        <w:pStyle w:val="Heading1"/>
        <w:keepNext w:val="0"/>
        <w:spacing w:before="0" w:after="0" w:line="360" w:lineRule="auto"/>
        <w:jc w:val="center"/>
        <w:rPr>
          <w:rFonts w:ascii="仿宋_GB2312" w:eastAsia="仿宋_GB2312" w:hAnsi="仿宋_GB2312" w:cs="仿宋_GB2312"/>
          <w:b/>
          <w:bCs/>
          <w:sz w:val="32"/>
          <w:szCs w:val="32"/>
        </w:rPr>
      </w:pPr>
      <w:bookmarkStart w:id="27" w:name="_Toc256000024"/>
      <w:r>
        <w:rPr>
          <w:rFonts w:ascii="仿宋_GB2312" w:eastAsia="仿宋_GB2312" w:hAnsi="仿宋_GB2312" w:cs="仿宋_GB2312"/>
          <w:kern w:val="36"/>
        </w:rPr>
        <w:t>5管理实施要求</w:t>
      </w:r>
      <w:bookmarkEnd w:id="27"/>
    </w:p>
    <w:p>
      <w:pPr>
        <w:spacing w:before="0" w:after="0" w:line="360" w:lineRule="auto"/>
        <w:ind w:firstLine="560"/>
        <w:rPr>
          <w:rFonts w:ascii="FangSong_GB2312" w:eastAsia="FangSong_GB2312" w:hAnsi="FangSong_GB2312" w:cs="FangSong_GB2312"/>
          <w:sz w:val="28"/>
          <w:szCs w:val="28"/>
        </w:rPr>
      </w:pPr>
      <w:r>
        <w:rPr>
          <w:rFonts w:ascii="FangSong" w:eastAsia="FangSong" w:hAnsi="FangSong" w:cs="FangSong"/>
          <w:sz w:val="32"/>
          <w:szCs w:val="32"/>
        </w:rPr>
        <w:t>供应商应根据国家税务总局大连市税务局第三税务分局具体要求提供相应服务。</w:t>
      </w:r>
    </w:p>
    <w:p>
      <w:pPr>
        <w:pStyle w:val="Heading2"/>
        <w:keepNext w:val="0"/>
        <w:spacing w:before="0" w:after="0" w:line="360" w:lineRule="auto"/>
        <w:rPr>
          <w:rFonts w:ascii="仿宋_GB2312" w:eastAsia="仿宋_GB2312" w:hAnsi="仿宋_GB2312" w:cs="仿宋_GB2312"/>
          <w:b/>
          <w:bCs/>
          <w:sz w:val="28"/>
          <w:szCs w:val="28"/>
        </w:rPr>
      </w:pPr>
      <w:bookmarkStart w:id="28" w:name="_Toc256000025"/>
      <w:r>
        <w:rPr>
          <w:rFonts w:ascii="仿宋_GB2312" w:eastAsia="仿宋_GB2312" w:hAnsi="仿宋_GB2312" w:cs="仿宋_GB2312"/>
          <w:i w:val="0"/>
          <w:iCs w:val="0"/>
        </w:rPr>
        <w:t>5.1具体要求</w:t>
      </w:r>
      <w:bookmarkEnd w:id="28"/>
    </w:p>
    <w:tbl>
      <w:tblPr>
        <w:tblW w:w="5000" w:type="pct"/>
        <w:tblInd w:w="30" w:type="dxa"/>
        <w:tblCellMar>
          <w:top w:w="15" w:type="dxa"/>
          <w:left w:w="15" w:type="dxa"/>
          <w:bottom w:w="15" w:type="dxa"/>
          <w:right w:w="15" w:type="dxa"/>
        </w:tblCellMar>
      </w:tblPr>
      <w:tblGrid>
        <w:gridCol w:w="426"/>
        <w:gridCol w:w="1145"/>
        <w:gridCol w:w="787"/>
        <w:gridCol w:w="27202"/>
        <w:gridCol w:w="607"/>
        <w:gridCol w:w="1513"/>
      </w:tblGrid>
      <w:tr>
        <w:tblPrEx>
          <w:tblW w:w="5000" w:type="pct"/>
          <w:tblInd w:w="30" w:type="dxa"/>
          <w:tblCellMar>
            <w:top w:w="15" w:type="dxa"/>
            <w:left w:w="15" w:type="dxa"/>
            <w:bottom w:w="15" w:type="dxa"/>
            <w:right w:w="15" w:type="dxa"/>
          </w:tblCellMar>
        </w:tblPrEx>
        <w:tc>
          <w:tcPr>
            <w:tcW w:w="5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序号</w:t>
            </w:r>
          </w:p>
        </w:tc>
        <w:tc>
          <w:tcPr>
            <w:tcW w:w="9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指标种类</w:t>
            </w:r>
          </w:p>
        </w:tc>
        <w:tc>
          <w:tcPr>
            <w:tcW w:w="9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指标名称</w:t>
            </w:r>
          </w:p>
        </w:tc>
        <w:tc>
          <w:tcPr>
            <w:tcW w:w="9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指标内容</w:t>
            </w:r>
          </w:p>
        </w:tc>
        <w:tc>
          <w:tcPr>
            <w:tcW w:w="9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重要性</w:t>
            </w:r>
          </w:p>
        </w:tc>
        <w:tc>
          <w:tcPr>
            <w:tcW w:w="9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是否需要证明材料</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管理实施要求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纪律要求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供应商应执行采购人对分局非执法类辅助性服务的各项工作纪律、廉洁纪律、保密规定等相关管理办法及考核奖惩制度（包括但不限于业务能力、服务态度、满意度），成交供应商制定的相关管理办法、考核奖惩制度应提前报采购人备案。</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管理实施要求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培训管理</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供应商按照采购人的要求，负责分局非执法类辅助性服务人员的培训、教育、管理、考核等工作，保证其具备完成日常工作的基本素质和能力，严格遵守国家法律和采购人的规章制度，服务期间严格服从采购人管理。</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3</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管理实施要求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服务标准</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供应商应确保分局非执法类辅助性服务人员的工作技能能够达到采购人的服务需求，对不能胜任工作或出现重大过错的服务人员，应按照采购人的要求及时予以更换，更换服务人员涉及的各项费用及劳动补偿均由成交供应商承担。</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4</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管理实施要求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责任要求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非执法类辅助性服务人员在采购人场所服务期间应遵守职业规范和采购人有关规定，因合同范围内正常工作、意外和个人原因导致的非执法类辅助性服务人员的人身损害由成交供应商负责。机关（办税服务厅）非执法类辅助性服务人员伤残疾病等费用均由成交供应商自理。机关（办税服务厅）非执法类辅助性服务人员在执行服务中造成他人人身伤亡、财产损失的，由成交供应商负责处理并承担相关赔偿及法律责任。</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5</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管理实施要求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工作要求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供应商应于合同生效之日起实现对该项目的有效接管，并将符合条件的分局非执法类辅助性服务人员配备到位，确保工作衔接顺畅、运转有序。分局非执法类辅助性服务人员经培训到位上岗后，未经采购人同意，不得进行更换。</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6</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管理实施要求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项目经理</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供应商须为本项目配备一名专职项目经理（不包含非执法类辅助性服务人员中）。专职项目经理须具备良好沟通能力、执行能力和较强责任心，专门负责对该项目服务进行日常管理，包括服务质量、工作秩序、安全管理、日常考勤等事项，保证服务工作有序开展。</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7</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管理实施要求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保密要求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供应商须与采购人签订《信息安全保密协议》， 作为合同的组成部分，同时采取有力措施履行保密承诺。</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8</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管理实施要求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配合要求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供应商应积极配合，做好本项目有效承接、交接工作，并保证服务工作有序开展。</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9</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管理实施要求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人员要求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供应商提供的分局非执法类辅助性服务人员数量必须与采购人进行充分协商确定，并满足采购人分局非执法类辅助性服务的需求，若出现不满足采购人分局非执法类辅助服务的情况，成交供应商应在 1 个工作日内补充到位。若出现人员未补充到位而影响采购人工作的，采购人可以单方面解除合同。</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10</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管理实施要求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工作标准</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供应商应采取有力措施确保该项目顺利运转，确保各项工作扎实到位：</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（1）保证分局非执法类辅助性服务人员能严格按采购人要求开展工作，并保证工作的及时性、准确性；</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（2）分局非执法类辅助性服务人员不得发生弄虚作假行为及责任纠纷；</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（3）分局非执法类辅助性服务人员须按照采购人规定统一着装，挂牌上岗，文明服务，礼仪规范。</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（4）分局非执法类辅助性服务人员与供应商发生劳动纠纷的（含工伤事故），产生的所有的法律责任由成交供应商承担，由此造成采购人损失的，由成交供应商承担赔偿责任。</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（5）供应商应对分局非执法类辅助性服务人员的轮岗机制应提前做好处理方案，按照采购人需求明确调整到位的时间，做好规范轮岗、离岗交接工作。</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管理实施要求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待遇水平</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供应商应全面保障分局非执法类辅助性服务人员合法权益，非执法类辅助性服务人员应发工资参考同行业工资水平。 成交价包含完成本项目所需的成本、劳务、分局非执法类辅助性服务人员费用（供应商支付非执法类辅助性服务人员薪酬必须符合国家各项规定，包括最低保障工资的规定、按要求为非执法类辅助性服务人员缴纳 社会保险等）、意外保险、绩效工资、加班费、相关福利支出、培训费、体检费、服装费、管理费、维护费、质量保证、利润、税金、其他等各种费用，以及合同约定范围内除不可抗力以外的其他一切为本项目所需的全部费用。</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12</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管理实施要求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风险责任</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供应商配备的机关（办税服务厅）非执法类辅助性服务人员要经过礼仪礼貌、行为规范、税收基础知识、税务部门规章制度、业务操作流程的系统培训，确保符合关于税收业务、技能、特殊服务要求；机关（办税服务厅）非执法类辅助性服务人员要按照采购人的服务标准、服务规范、服务质量等做好服务及管理工作。在合同履行期内，成交供应商若发生政治事件、重大舆情及涉黑涉恶等事件，机关（办税服务厅）非执法类辅助性服务人员发生严重泄密事件等，采购人有权终止合同，由成交供应商承担相应法律责任。</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13</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管理实施要求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风险要求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因供应商原因造成服务不到位，给采购人造成的损失，采购人有权要求成交供应商进行整改,由此造成的损失由成交供应商负责赔偿；若成交供应商多次整改不到位，采购人有权单方面解除合同。</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14</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管理实施要求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人员选配</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为保证业务连续性，供应商可以优先留用或调剂使用原有项目辅助性服务人员。</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15</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管理实施要求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履约条件</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采购人因政策、机构调整等原因导致不能继续履行合同的，有权单方面终止本合同，成交供应商负责做好分局非执法类辅助性服务人员的善后工作，包括但不限于经济赔偿等。</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bl>
    <w:p>
      <w:pPr>
        <w:pStyle w:val="Heading1"/>
        <w:keepNext w:val="0"/>
        <w:spacing w:before="0" w:after="0" w:line="360" w:lineRule="auto"/>
        <w:jc w:val="center"/>
        <w:rPr>
          <w:rFonts w:ascii="仿宋_GB2312" w:eastAsia="仿宋_GB2312" w:hAnsi="仿宋_GB2312" w:cs="仿宋_GB2312"/>
          <w:b/>
          <w:bCs/>
          <w:sz w:val="32"/>
          <w:szCs w:val="32"/>
        </w:rPr>
      </w:pPr>
      <w:bookmarkStart w:id="29" w:name="_Toc256000026"/>
      <w:r>
        <w:rPr>
          <w:rFonts w:ascii="仿宋_GB2312" w:eastAsia="仿宋_GB2312" w:hAnsi="仿宋_GB2312" w:cs="仿宋_GB2312"/>
          <w:kern w:val="36"/>
        </w:rPr>
        <w:t>6风险管控要求</w:t>
      </w:r>
      <w:bookmarkEnd w:id="29"/>
    </w:p>
    <w:p>
      <w:pPr>
        <w:pStyle w:val="MsoNormal"/>
        <w:spacing w:before="0" w:after="0" w:line="360" w:lineRule="auto"/>
        <w:ind w:firstLine="420"/>
        <w:rPr>
          <w:rFonts w:ascii="Times New Roman" w:eastAsia="Times New Roman" w:hAnsi="Times New Roman" w:cs="Times New Roman"/>
        </w:rPr>
      </w:pPr>
      <w:r>
        <w:rPr>
          <w:rFonts w:ascii="FangSong" w:eastAsia="FangSong" w:hAnsi="FangSong" w:cs="FangSong"/>
          <w:sz w:val="32"/>
          <w:szCs w:val="32"/>
        </w:rPr>
        <w:t>供应商应建立一套全面的风险管理体系，识别、评估、应对和监控合同履行过程中的各类风险，具体包括风险识别、评估结果、采取的应对措施及效果。</w:t>
      </w:r>
    </w:p>
    <w:p>
      <w:pPr>
        <w:pStyle w:val="MsoNormal"/>
        <w:spacing w:before="0" w:after="0" w:line="360" w:lineRule="auto"/>
        <w:ind w:firstLine="420"/>
        <w:rPr>
          <w:rFonts w:ascii="Times New Roman" w:eastAsia="Times New Roman" w:hAnsi="Times New Roman" w:cs="Times New Roman"/>
        </w:rPr>
      </w:pPr>
      <w:r>
        <w:rPr>
          <w:rFonts w:ascii="FangSong" w:eastAsia="FangSong" w:hAnsi="FangSong" w:cs="FangSong"/>
          <w:sz w:val="32"/>
          <w:szCs w:val="32"/>
        </w:rPr>
        <w:t>合同履行过程中，如出现国家政策变化、实施环境变化、重大技术变化等因素而导致合同履行出现风险，中标人必须及时与采购人沟通协商，对相关风险及时作出应对，避免出现损害国家利益和社会公共利益的情形。</w:t>
      </w:r>
    </w:p>
    <w:p>
      <w:pPr>
        <w:pStyle w:val="Heading1"/>
        <w:keepNext w:val="0"/>
        <w:spacing w:before="0" w:after="0" w:line="360" w:lineRule="auto"/>
        <w:jc w:val="center"/>
        <w:rPr>
          <w:rFonts w:ascii="仿宋_GB2312" w:eastAsia="仿宋_GB2312" w:hAnsi="仿宋_GB2312" w:cs="仿宋_GB2312"/>
          <w:b/>
          <w:bCs/>
          <w:sz w:val="32"/>
          <w:szCs w:val="32"/>
        </w:rPr>
      </w:pPr>
      <w:bookmarkStart w:id="30" w:name="_Toc256000027"/>
      <w:r>
        <w:rPr>
          <w:rFonts w:ascii="仿宋_GB2312" w:eastAsia="仿宋_GB2312" w:hAnsi="仿宋_GB2312" w:cs="仿宋_GB2312"/>
          <w:kern w:val="36"/>
        </w:rPr>
        <w:t>7履约验收要求</w:t>
      </w:r>
      <w:bookmarkEnd w:id="30"/>
    </w:p>
    <w:p>
      <w:pPr>
        <w:pStyle w:val="Heading2"/>
        <w:keepNext w:val="0"/>
        <w:spacing w:before="0" w:after="0" w:line="360" w:lineRule="auto"/>
        <w:rPr>
          <w:rFonts w:ascii="仿宋_GB2312" w:eastAsia="仿宋_GB2312" w:hAnsi="仿宋_GB2312" w:cs="仿宋_GB2312"/>
          <w:b/>
          <w:bCs/>
          <w:sz w:val="28"/>
          <w:szCs w:val="28"/>
        </w:rPr>
      </w:pPr>
      <w:bookmarkStart w:id="31" w:name="_Toc256000028"/>
      <w:r>
        <w:rPr>
          <w:rFonts w:ascii="仿宋_GB2312" w:eastAsia="仿宋_GB2312" w:hAnsi="仿宋_GB2312" w:cs="仿宋_GB2312"/>
          <w:i w:val="0"/>
          <w:iCs w:val="0"/>
        </w:rPr>
        <w:t>7.1总体要求</w:t>
      </w:r>
      <w:bookmarkEnd w:id="31"/>
    </w:p>
    <w:tbl>
      <w:tblPr>
        <w:tblW w:w="5000" w:type="pct"/>
        <w:tblInd w:w="30" w:type="dxa"/>
        <w:tblCellMar>
          <w:top w:w="15" w:type="dxa"/>
          <w:left w:w="15" w:type="dxa"/>
          <w:bottom w:w="15" w:type="dxa"/>
          <w:right w:w="15" w:type="dxa"/>
        </w:tblCellMar>
      </w:tblPr>
      <w:tblGrid>
        <w:gridCol w:w="1696"/>
        <w:gridCol w:w="7634"/>
      </w:tblGrid>
      <w:tr>
        <w:tblPrEx>
          <w:tblW w:w="5000" w:type="pct"/>
          <w:tblInd w:w="30" w:type="dxa"/>
          <w:tblCellMar>
            <w:top w:w="15" w:type="dxa"/>
            <w:left w:w="15" w:type="dxa"/>
            <w:bottom w:w="15" w:type="dxa"/>
            <w:right w:w="15" w:type="dxa"/>
          </w:tblCellMar>
        </w:tblPrEx>
        <w:tc>
          <w:tcPr>
            <w:tcW w:w="25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验收名称</w:t>
            </w:r>
          </w:p>
        </w:tc>
        <w:tc>
          <w:tcPr>
            <w:tcW w:w="25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验收要求</w:t>
            </w:r>
          </w:p>
        </w:tc>
      </w:tr>
      <w:tr>
        <w:tblPrEx>
          <w:tblW w:w="5000" w:type="pct"/>
          <w:tblInd w:w="30" w:type="dxa"/>
          <w:tblCellMar>
            <w:top w:w="15" w:type="dxa"/>
            <w:left w:w="15" w:type="dxa"/>
            <w:bottom w:w="15" w:type="dxa"/>
            <w:right w:w="15" w:type="dxa"/>
          </w:tblCellMar>
        </w:tblPrEx>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第1次验收</w:t>
            </w:r>
          </w:p>
        </w:tc>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采购人根据上月分局非执法类辅助性服务质量考核及服务人员出勤情况进行验收。</w:t>
            </w:r>
          </w:p>
        </w:tc>
      </w:tr>
      <w:tr>
        <w:tblPrEx>
          <w:tblW w:w="5000" w:type="pct"/>
          <w:tblInd w:w="30" w:type="dxa"/>
          <w:tblCellMar>
            <w:top w:w="15" w:type="dxa"/>
            <w:left w:w="15" w:type="dxa"/>
            <w:bottom w:w="15" w:type="dxa"/>
            <w:right w:w="15" w:type="dxa"/>
          </w:tblCellMar>
        </w:tblPrEx>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第2次验收</w:t>
            </w:r>
          </w:p>
        </w:tc>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采购人根据上月分局非执法类辅助性服务质量考核及服务人员出勤情况进行验收。</w:t>
            </w:r>
          </w:p>
        </w:tc>
      </w:tr>
      <w:tr>
        <w:tblPrEx>
          <w:tblW w:w="5000" w:type="pct"/>
          <w:tblInd w:w="30" w:type="dxa"/>
          <w:tblCellMar>
            <w:top w:w="15" w:type="dxa"/>
            <w:left w:w="15" w:type="dxa"/>
            <w:bottom w:w="15" w:type="dxa"/>
            <w:right w:w="15" w:type="dxa"/>
          </w:tblCellMar>
        </w:tblPrEx>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第3次验收</w:t>
            </w:r>
          </w:p>
        </w:tc>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采购人根据上月分局非执法类辅助性服务质量考核及服务人员出勤情况进行验收。</w:t>
            </w:r>
          </w:p>
        </w:tc>
      </w:tr>
      <w:tr>
        <w:tblPrEx>
          <w:tblW w:w="5000" w:type="pct"/>
          <w:tblInd w:w="30" w:type="dxa"/>
          <w:tblCellMar>
            <w:top w:w="15" w:type="dxa"/>
            <w:left w:w="15" w:type="dxa"/>
            <w:bottom w:w="15" w:type="dxa"/>
            <w:right w:w="15" w:type="dxa"/>
          </w:tblCellMar>
        </w:tblPrEx>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第4次验收</w:t>
            </w:r>
          </w:p>
        </w:tc>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采购人根据上月分局非执法类辅助性服务质量考核及服务人员出勤情况进行验收。</w:t>
            </w:r>
          </w:p>
        </w:tc>
      </w:tr>
      <w:tr>
        <w:tblPrEx>
          <w:tblW w:w="5000" w:type="pct"/>
          <w:tblInd w:w="30" w:type="dxa"/>
          <w:tblCellMar>
            <w:top w:w="15" w:type="dxa"/>
            <w:left w:w="15" w:type="dxa"/>
            <w:bottom w:w="15" w:type="dxa"/>
            <w:right w:w="15" w:type="dxa"/>
          </w:tblCellMar>
        </w:tblPrEx>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第5次验收</w:t>
            </w:r>
          </w:p>
        </w:tc>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采购人根据上月分局非执法类辅助性服务质量考核及服务人员出勤情况进行验收。</w:t>
            </w:r>
          </w:p>
        </w:tc>
      </w:tr>
      <w:tr>
        <w:tblPrEx>
          <w:tblW w:w="5000" w:type="pct"/>
          <w:tblInd w:w="30" w:type="dxa"/>
          <w:tblCellMar>
            <w:top w:w="15" w:type="dxa"/>
            <w:left w:w="15" w:type="dxa"/>
            <w:bottom w:w="15" w:type="dxa"/>
            <w:right w:w="15" w:type="dxa"/>
          </w:tblCellMar>
        </w:tblPrEx>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第6次验收</w:t>
            </w:r>
          </w:p>
        </w:tc>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采购人根据上月分局非执法类辅助性服务质量考核及服务人员出勤情况进行验收。</w:t>
            </w:r>
          </w:p>
        </w:tc>
      </w:tr>
      <w:tr>
        <w:tblPrEx>
          <w:tblW w:w="5000" w:type="pct"/>
          <w:tblInd w:w="30" w:type="dxa"/>
          <w:tblCellMar>
            <w:top w:w="15" w:type="dxa"/>
            <w:left w:w="15" w:type="dxa"/>
            <w:bottom w:w="15" w:type="dxa"/>
            <w:right w:w="15" w:type="dxa"/>
          </w:tblCellMar>
        </w:tblPrEx>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第7次验收</w:t>
            </w:r>
          </w:p>
        </w:tc>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采购人根据上月分局非执法类辅助性服务质量考核及服务人员出勤情况进行验收。</w:t>
            </w:r>
          </w:p>
        </w:tc>
      </w:tr>
      <w:tr>
        <w:tblPrEx>
          <w:tblW w:w="5000" w:type="pct"/>
          <w:tblInd w:w="30" w:type="dxa"/>
          <w:tblCellMar>
            <w:top w:w="15" w:type="dxa"/>
            <w:left w:w="15" w:type="dxa"/>
            <w:bottom w:w="15" w:type="dxa"/>
            <w:right w:w="15" w:type="dxa"/>
          </w:tblCellMar>
        </w:tblPrEx>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第8次验收</w:t>
            </w:r>
          </w:p>
        </w:tc>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采购人根据上月分局非执法类辅助性服务质量考核及服务人员出勤情况进行验收。</w:t>
            </w:r>
          </w:p>
        </w:tc>
      </w:tr>
      <w:tr>
        <w:tblPrEx>
          <w:tblW w:w="5000" w:type="pct"/>
          <w:tblInd w:w="30" w:type="dxa"/>
          <w:tblCellMar>
            <w:top w:w="15" w:type="dxa"/>
            <w:left w:w="15" w:type="dxa"/>
            <w:bottom w:w="15" w:type="dxa"/>
            <w:right w:w="15" w:type="dxa"/>
          </w:tblCellMar>
        </w:tblPrEx>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第9次验收</w:t>
            </w:r>
          </w:p>
        </w:tc>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采购人根据上月分局非执法类辅助性服务质量考核及服务人员出勤情况进行验收。</w:t>
            </w:r>
          </w:p>
        </w:tc>
      </w:tr>
      <w:tr>
        <w:tblPrEx>
          <w:tblW w:w="5000" w:type="pct"/>
          <w:tblInd w:w="30" w:type="dxa"/>
          <w:tblCellMar>
            <w:top w:w="15" w:type="dxa"/>
            <w:left w:w="15" w:type="dxa"/>
            <w:bottom w:w="15" w:type="dxa"/>
            <w:right w:w="15" w:type="dxa"/>
          </w:tblCellMar>
        </w:tblPrEx>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第10次验收</w:t>
            </w:r>
          </w:p>
        </w:tc>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采购人根据上月分局非执法类辅助性服务质量考核及服务人员出勤情况进行验收。</w:t>
            </w:r>
          </w:p>
        </w:tc>
      </w:tr>
      <w:tr>
        <w:tblPrEx>
          <w:tblW w:w="5000" w:type="pct"/>
          <w:tblInd w:w="30" w:type="dxa"/>
          <w:tblCellMar>
            <w:top w:w="15" w:type="dxa"/>
            <w:left w:w="15" w:type="dxa"/>
            <w:bottom w:w="15" w:type="dxa"/>
            <w:right w:w="15" w:type="dxa"/>
          </w:tblCellMar>
        </w:tblPrEx>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第11次验收</w:t>
            </w:r>
          </w:p>
        </w:tc>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采购人根据上月分局非执法类辅助性服务质量考核及服务人员出勤情况进行验收。</w:t>
            </w:r>
          </w:p>
        </w:tc>
      </w:tr>
      <w:tr>
        <w:tblPrEx>
          <w:tblW w:w="5000" w:type="pct"/>
          <w:tblInd w:w="30" w:type="dxa"/>
          <w:tblCellMar>
            <w:top w:w="15" w:type="dxa"/>
            <w:left w:w="15" w:type="dxa"/>
            <w:bottom w:w="15" w:type="dxa"/>
            <w:right w:w="15" w:type="dxa"/>
          </w:tblCellMar>
        </w:tblPrEx>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第12次验收</w:t>
            </w:r>
          </w:p>
        </w:tc>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采购人根据上月分局非执法类辅助性服务质量考核及服务人员出勤情况进行验收。</w:t>
            </w:r>
          </w:p>
        </w:tc>
      </w:tr>
    </w:tbl>
    <w:p>
      <w:pPr>
        <w:pStyle w:val="Heading2"/>
        <w:keepNext w:val="0"/>
        <w:spacing w:before="0" w:after="0" w:line="360" w:lineRule="auto"/>
        <w:rPr>
          <w:rFonts w:ascii="仿宋_GB2312" w:eastAsia="仿宋_GB2312" w:hAnsi="仿宋_GB2312" w:cs="仿宋_GB2312"/>
          <w:b/>
          <w:bCs/>
          <w:sz w:val="28"/>
          <w:szCs w:val="28"/>
        </w:rPr>
      </w:pPr>
      <w:bookmarkStart w:id="32" w:name="_Toc256000029"/>
      <w:r>
        <w:rPr>
          <w:rFonts w:ascii="仿宋_GB2312" w:eastAsia="仿宋_GB2312" w:hAnsi="仿宋_GB2312" w:cs="仿宋_GB2312"/>
          <w:i w:val="0"/>
          <w:iCs w:val="0"/>
        </w:rPr>
        <w:t>7.2具体要求</w:t>
      </w:r>
      <w:bookmarkEnd w:id="32"/>
    </w:p>
    <w:p>
      <w:pPr>
        <w:pStyle w:val="MsoNormal"/>
        <w:spacing w:before="0" w:after="0" w:line="360" w:lineRule="auto"/>
        <w:rPr>
          <w:rFonts w:ascii="Times New Roman" w:eastAsia="Times New Roman" w:hAnsi="Times New Roman" w:cs="Times New Roman"/>
        </w:rPr>
      </w:pPr>
      <w:r>
        <w:rPr>
          <w:rFonts w:ascii="FangSong" w:eastAsia="FangSong" w:hAnsi="FangSong" w:cs="FangSong"/>
          <w:sz w:val="32"/>
          <w:szCs w:val="32"/>
        </w:rPr>
        <w:t>    采购人非执法类辅助型服务需求部门对服务质量考核进行打分，得分≥98 分，按100%支付服务费；90 分≤得分&lt;98分，从每月支付的服务费中扣 2000元；85 分≤得分&lt;90 分，从每月支付的服务费中扣 5000元；得分&lt;85 分的为不合格，采购人有权单方面解除合同。</w:t>
      </w:r>
    </w:p>
    <w:p>
      <w:pPr>
        <w:pStyle w:val="MsoNormal"/>
        <w:spacing w:before="0" w:after="0" w:line="360" w:lineRule="auto"/>
        <w:ind w:firstLine="422"/>
        <w:textAlignment w:val="baseline"/>
        <w:rPr>
          <w:rFonts w:ascii="Times New Roman" w:eastAsia="Times New Roman" w:hAnsi="Times New Roman" w:cs="Times New Roman"/>
        </w:rPr>
      </w:pPr>
      <w:r>
        <w:rPr>
          <w:rFonts w:ascii="FangSong" w:eastAsia="FangSong" w:hAnsi="FangSong" w:cs="FangSong"/>
          <w:b/>
          <w:bCs/>
          <w:sz w:val="32"/>
          <w:szCs w:val="32"/>
        </w:rPr>
        <w:t>验收时，分局非执法类辅助型服务需求部门按规定填写《项目验收书》（每月付款时提供）。验收合格后，结算当月实际应支付金额。</w:t>
      </w:r>
    </w:p>
    <w:p>
      <w:pPr>
        <w:spacing w:before="0" w:after="0" w:line="360" w:lineRule="auto"/>
        <w:rPr>
          <w:rFonts w:ascii="FangSong_GB2312" w:eastAsia="FangSong_GB2312" w:hAnsi="FangSong_GB2312" w:cs="FangSong_GB2312"/>
          <w:sz w:val="28"/>
          <w:szCs w:val="28"/>
        </w:rPr>
      </w:pPr>
      <w:r>
        <w:rPr>
          <w:rFonts w:ascii="FangSong_GB2312" w:eastAsia="FangSong_GB2312" w:hAnsi="FangSong_GB2312" w:cs="FangSong_GB2312"/>
          <w:sz w:val="28"/>
          <w:szCs w:val="28"/>
        </w:rPr>
        <w:t> </w:t>
      </w:r>
    </w:p>
    <w:p>
      <w:pPr>
        <w:pStyle w:val="Heading1"/>
        <w:keepNext w:val="0"/>
        <w:spacing w:before="0" w:after="0" w:line="360" w:lineRule="auto"/>
        <w:jc w:val="center"/>
        <w:rPr>
          <w:rFonts w:ascii="仿宋_GB2312" w:eastAsia="仿宋_GB2312" w:hAnsi="仿宋_GB2312" w:cs="仿宋_GB2312"/>
          <w:b/>
          <w:bCs/>
          <w:sz w:val="32"/>
          <w:szCs w:val="32"/>
        </w:rPr>
      </w:pPr>
      <w:bookmarkStart w:id="33" w:name="_Toc256000030"/>
      <w:r>
        <w:rPr>
          <w:rFonts w:ascii="仿宋_GB2312" w:eastAsia="仿宋_GB2312" w:hAnsi="仿宋_GB2312" w:cs="仿宋_GB2312"/>
          <w:kern w:val="36"/>
        </w:rPr>
        <w:t>8其他要求</w:t>
      </w:r>
      <w:bookmarkEnd w:id="33"/>
    </w:p>
    <w:p>
      <w:pPr>
        <w:pStyle w:val="Heading2"/>
        <w:keepNext w:val="0"/>
        <w:spacing w:before="0" w:after="0" w:line="360" w:lineRule="auto"/>
        <w:rPr>
          <w:rFonts w:ascii="仿宋_GB2312" w:eastAsia="仿宋_GB2312" w:hAnsi="仿宋_GB2312" w:cs="仿宋_GB2312"/>
          <w:b/>
          <w:bCs/>
          <w:sz w:val="28"/>
          <w:szCs w:val="28"/>
        </w:rPr>
      </w:pPr>
      <w:bookmarkStart w:id="34" w:name="_Toc256000031"/>
      <w:r>
        <w:rPr>
          <w:rFonts w:ascii="仿宋_GB2312" w:eastAsia="仿宋_GB2312" w:hAnsi="仿宋_GB2312" w:cs="仿宋_GB2312"/>
          <w:i w:val="0"/>
          <w:iCs w:val="0"/>
        </w:rPr>
        <w:t>8.1必备要求</w:t>
      </w:r>
      <w:bookmarkEnd w:id="34"/>
    </w:p>
    <w:p>
      <w:pPr>
        <w:pStyle w:val="Heading3"/>
        <w:keepNext w:val="0"/>
        <w:spacing w:before="0" w:after="0" w:line="360" w:lineRule="auto"/>
        <w:rPr>
          <w:rFonts w:ascii="仿宋_GB2312" w:eastAsia="仿宋_GB2312" w:hAnsi="仿宋_GB2312" w:cs="仿宋_GB2312"/>
          <w:b/>
          <w:bCs/>
          <w:sz w:val="28"/>
          <w:szCs w:val="28"/>
        </w:rPr>
      </w:pPr>
      <w:bookmarkStart w:id="35" w:name="_Toc256000032"/>
      <w:r>
        <w:rPr>
          <w:rFonts w:ascii="仿宋_GB2312" w:eastAsia="仿宋_GB2312" w:hAnsi="仿宋_GB2312" w:cs="仿宋_GB2312"/>
          <w:sz w:val="28"/>
          <w:szCs w:val="28"/>
        </w:rPr>
        <w:t>8.1.1通用必备要求</w:t>
      </w:r>
      <w:bookmarkEnd w:id="35"/>
    </w:p>
    <w:p>
      <w:pPr>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1.本项目中如涉及商品包装和快递包装的，其包装需求标准应不低于《关于印发&lt;商品包装政府采购需求标准（试行）&gt;、&lt;快递包装政府采购需求标准（试行）&gt;的通知》（财办库〔2020〕123 号）规定的包装要求，如有其他包装需求，详见采购文件技术部分相关章节。 </w:t>
      </w:r>
    </w:p>
    <w:p>
      <w:pPr>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2.本项目中如涉及网络关键设备或网络安全专用产品的，应严格执行国家互联网信息办公室、工业和信息化部、公安部、财政部和国家认证认可监督管理委员会 2023年第 1 号《关于调整网络安全专用产品安全管理有关事项的公告》及国家互联网信息办公室、工业和信息化部、公安部和国家认证认可监督管理委员会 2023 年第 2号《关于调整&lt;网络关键设备和网络安全专用产品目录&gt;的公告》等相关文件要求，所投标（响应）设备或产品至少符合以下条件之一：一是已由具备资格的机构安全认证合格或安全检测符合要求；二是已获得《计算机信息系统安全专用产品销售许可证》，且在有效期内。 </w:t>
      </w:r>
    </w:p>
    <w:p>
      <w:pPr>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3.本项目中如涉及国家强制性产品认证证书（CCC 认证证书）、电信设备进网许可证、无线电发射设备核准证等市场准入类资质的，应严格执行国家相关法律法规的要求。 </w:t>
      </w:r>
    </w:p>
    <w:p>
      <w:pPr>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以上相关要求，由供应商在响应时应答，在履约验收中，采购人将按照采购文件、中标/成交供应商响应文件、采购合同等对中标/成交供应商提供的货物和服务进行验收，必要时依法依规开展相应检测、认证。</w:t>
      </w:r>
    </w:p>
    <w:p>
      <w:pPr>
        <w:spacing w:before="0" w:after="0" w:line="360" w:lineRule="auto"/>
        <w:rPr>
          <w:rFonts w:ascii="FangSong_GB2312" w:eastAsia="FangSong_GB2312" w:hAnsi="FangSong_GB2312" w:cs="FangSong_GB2312"/>
          <w:sz w:val="28"/>
          <w:szCs w:val="28"/>
        </w:rPr>
      </w:pPr>
      <w:r>
        <w:rPr>
          <w:rFonts w:ascii="FangSong_GB2312" w:eastAsia="FangSong_GB2312" w:hAnsi="FangSong_GB2312" w:cs="FangSong_GB2312"/>
          <w:sz w:val="28"/>
          <w:szCs w:val="28"/>
        </w:rPr>
        <w:t> </w:t>
      </w:r>
    </w:p>
    <w:p>
      <w:pPr>
        <w:pStyle w:val="Heading2"/>
        <w:keepNext w:val="0"/>
        <w:spacing w:before="0" w:after="0" w:line="360" w:lineRule="auto"/>
        <w:rPr>
          <w:rFonts w:ascii="仿宋_GB2312" w:eastAsia="仿宋_GB2312" w:hAnsi="仿宋_GB2312" w:cs="仿宋_GB2312"/>
          <w:b/>
          <w:bCs/>
          <w:sz w:val="28"/>
          <w:szCs w:val="28"/>
        </w:rPr>
      </w:pPr>
      <w:bookmarkStart w:id="36" w:name="_Toc256000033"/>
      <w:r>
        <w:rPr>
          <w:rFonts w:ascii="仿宋_GB2312" w:eastAsia="仿宋_GB2312" w:hAnsi="仿宋_GB2312" w:cs="仿宋_GB2312"/>
          <w:i w:val="0"/>
          <w:iCs w:val="0"/>
        </w:rPr>
        <w:t>8.2付款安排建议</w:t>
      </w:r>
      <w:bookmarkEnd w:id="36"/>
    </w:p>
    <w:tbl>
      <w:tblPr>
        <w:tblW w:w="5000" w:type="pct"/>
        <w:tblInd w:w="30" w:type="dxa"/>
        <w:tblCellMar>
          <w:top w:w="15" w:type="dxa"/>
          <w:left w:w="15" w:type="dxa"/>
          <w:bottom w:w="15" w:type="dxa"/>
          <w:right w:w="15" w:type="dxa"/>
        </w:tblCellMar>
      </w:tblPr>
      <w:tblGrid>
        <w:gridCol w:w="1866"/>
        <w:gridCol w:w="5598"/>
        <w:gridCol w:w="1866"/>
      </w:tblGrid>
      <w:tr>
        <w:tblPrEx>
          <w:tblW w:w="5000" w:type="pct"/>
          <w:tblInd w:w="30" w:type="dxa"/>
          <w:tblCellMar>
            <w:top w:w="15" w:type="dxa"/>
            <w:left w:w="15" w:type="dxa"/>
            <w:bottom w:w="15" w:type="dxa"/>
            <w:right w:w="15" w:type="dxa"/>
          </w:tblCellMar>
        </w:tblPrEx>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付款名称</w:t>
            </w:r>
          </w:p>
        </w:tc>
        <w:tc>
          <w:tcPr>
            <w:tcW w:w="3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付款要求</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付款比例(%)</w:t>
            </w:r>
          </w:p>
        </w:tc>
      </w:tr>
      <w:tr>
        <w:tblPrEx>
          <w:tblW w:w="5000" w:type="pct"/>
          <w:tblInd w:w="30" w:type="dxa"/>
          <w:tblCellMar>
            <w:top w:w="15" w:type="dxa"/>
            <w:left w:w="15" w:type="dxa"/>
            <w:bottom w:w="15" w:type="dxa"/>
            <w:right w:w="15" w:type="dxa"/>
          </w:tblCellMar>
        </w:tblPrEx>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第1次付款</w:t>
            </w:r>
          </w:p>
        </w:tc>
        <w:tc>
          <w:tcPr>
            <w:tcW w:w="22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验收无误</w:t>
            </w:r>
          </w:p>
        </w:tc>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8.33</w:t>
            </w:r>
          </w:p>
        </w:tc>
      </w:tr>
      <w:tr>
        <w:tblPrEx>
          <w:tblW w:w="5000" w:type="pct"/>
          <w:tblInd w:w="30" w:type="dxa"/>
          <w:tblCellMar>
            <w:top w:w="15" w:type="dxa"/>
            <w:left w:w="15" w:type="dxa"/>
            <w:bottom w:w="15" w:type="dxa"/>
            <w:right w:w="15" w:type="dxa"/>
          </w:tblCellMar>
        </w:tblPrEx>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第2次付款</w:t>
            </w:r>
          </w:p>
        </w:tc>
        <w:tc>
          <w:tcPr>
            <w:tcW w:w="22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验收无误</w:t>
            </w:r>
          </w:p>
        </w:tc>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8.33</w:t>
            </w:r>
          </w:p>
        </w:tc>
      </w:tr>
      <w:tr>
        <w:tblPrEx>
          <w:tblW w:w="5000" w:type="pct"/>
          <w:tblInd w:w="30" w:type="dxa"/>
          <w:tblCellMar>
            <w:top w:w="15" w:type="dxa"/>
            <w:left w:w="15" w:type="dxa"/>
            <w:bottom w:w="15" w:type="dxa"/>
            <w:right w:w="15" w:type="dxa"/>
          </w:tblCellMar>
        </w:tblPrEx>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第3次付款</w:t>
            </w:r>
          </w:p>
        </w:tc>
        <w:tc>
          <w:tcPr>
            <w:tcW w:w="22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验收无误</w:t>
            </w:r>
          </w:p>
        </w:tc>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8.33</w:t>
            </w:r>
          </w:p>
        </w:tc>
      </w:tr>
      <w:tr>
        <w:tblPrEx>
          <w:tblW w:w="5000" w:type="pct"/>
          <w:tblInd w:w="30" w:type="dxa"/>
          <w:tblCellMar>
            <w:top w:w="15" w:type="dxa"/>
            <w:left w:w="15" w:type="dxa"/>
            <w:bottom w:w="15" w:type="dxa"/>
            <w:right w:w="15" w:type="dxa"/>
          </w:tblCellMar>
        </w:tblPrEx>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第4次付款</w:t>
            </w:r>
          </w:p>
        </w:tc>
        <w:tc>
          <w:tcPr>
            <w:tcW w:w="22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验收无误</w:t>
            </w:r>
          </w:p>
        </w:tc>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8.33</w:t>
            </w:r>
          </w:p>
        </w:tc>
      </w:tr>
      <w:tr>
        <w:tblPrEx>
          <w:tblW w:w="5000" w:type="pct"/>
          <w:tblInd w:w="30" w:type="dxa"/>
          <w:tblCellMar>
            <w:top w:w="15" w:type="dxa"/>
            <w:left w:w="15" w:type="dxa"/>
            <w:bottom w:w="15" w:type="dxa"/>
            <w:right w:w="15" w:type="dxa"/>
          </w:tblCellMar>
        </w:tblPrEx>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第5次付款</w:t>
            </w:r>
          </w:p>
        </w:tc>
        <w:tc>
          <w:tcPr>
            <w:tcW w:w="22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验收无误</w:t>
            </w:r>
          </w:p>
        </w:tc>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8.33</w:t>
            </w:r>
          </w:p>
        </w:tc>
      </w:tr>
      <w:tr>
        <w:tblPrEx>
          <w:tblW w:w="5000" w:type="pct"/>
          <w:tblInd w:w="30" w:type="dxa"/>
          <w:tblCellMar>
            <w:top w:w="15" w:type="dxa"/>
            <w:left w:w="15" w:type="dxa"/>
            <w:bottom w:w="15" w:type="dxa"/>
            <w:right w:w="15" w:type="dxa"/>
          </w:tblCellMar>
        </w:tblPrEx>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第6次付款</w:t>
            </w:r>
          </w:p>
        </w:tc>
        <w:tc>
          <w:tcPr>
            <w:tcW w:w="22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验收无误</w:t>
            </w:r>
          </w:p>
        </w:tc>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8.33</w:t>
            </w:r>
          </w:p>
        </w:tc>
      </w:tr>
      <w:tr>
        <w:tblPrEx>
          <w:tblW w:w="5000" w:type="pct"/>
          <w:tblInd w:w="30" w:type="dxa"/>
          <w:tblCellMar>
            <w:top w:w="15" w:type="dxa"/>
            <w:left w:w="15" w:type="dxa"/>
            <w:bottom w:w="15" w:type="dxa"/>
            <w:right w:w="15" w:type="dxa"/>
          </w:tblCellMar>
        </w:tblPrEx>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第7次付款</w:t>
            </w:r>
          </w:p>
        </w:tc>
        <w:tc>
          <w:tcPr>
            <w:tcW w:w="22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验收无误</w:t>
            </w:r>
          </w:p>
        </w:tc>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8.33</w:t>
            </w:r>
          </w:p>
        </w:tc>
      </w:tr>
      <w:tr>
        <w:tblPrEx>
          <w:tblW w:w="5000" w:type="pct"/>
          <w:tblInd w:w="30" w:type="dxa"/>
          <w:tblCellMar>
            <w:top w:w="15" w:type="dxa"/>
            <w:left w:w="15" w:type="dxa"/>
            <w:bottom w:w="15" w:type="dxa"/>
            <w:right w:w="15" w:type="dxa"/>
          </w:tblCellMar>
        </w:tblPrEx>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第8次付款</w:t>
            </w:r>
          </w:p>
        </w:tc>
        <w:tc>
          <w:tcPr>
            <w:tcW w:w="22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验收无误</w:t>
            </w:r>
          </w:p>
        </w:tc>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8.33</w:t>
            </w:r>
          </w:p>
        </w:tc>
      </w:tr>
      <w:tr>
        <w:tblPrEx>
          <w:tblW w:w="5000" w:type="pct"/>
          <w:tblInd w:w="30" w:type="dxa"/>
          <w:tblCellMar>
            <w:top w:w="15" w:type="dxa"/>
            <w:left w:w="15" w:type="dxa"/>
            <w:bottom w:w="15" w:type="dxa"/>
            <w:right w:w="15" w:type="dxa"/>
          </w:tblCellMar>
        </w:tblPrEx>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第9次付款</w:t>
            </w:r>
          </w:p>
        </w:tc>
        <w:tc>
          <w:tcPr>
            <w:tcW w:w="22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验收无误</w:t>
            </w:r>
          </w:p>
        </w:tc>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8.33</w:t>
            </w:r>
          </w:p>
        </w:tc>
      </w:tr>
      <w:tr>
        <w:tblPrEx>
          <w:tblW w:w="5000" w:type="pct"/>
          <w:tblInd w:w="30" w:type="dxa"/>
          <w:tblCellMar>
            <w:top w:w="15" w:type="dxa"/>
            <w:left w:w="15" w:type="dxa"/>
            <w:bottom w:w="15" w:type="dxa"/>
            <w:right w:w="15" w:type="dxa"/>
          </w:tblCellMar>
        </w:tblPrEx>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第10次付款</w:t>
            </w:r>
          </w:p>
        </w:tc>
        <w:tc>
          <w:tcPr>
            <w:tcW w:w="22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验收无误</w:t>
            </w:r>
          </w:p>
        </w:tc>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8.33</w:t>
            </w:r>
          </w:p>
        </w:tc>
      </w:tr>
      <w:tr>
        <w:tblPrEx>
          <w:tblW w:w="5000" w:type="pct"/>
          <w:tblInd w:w="30" w:type="dxa"/>
          <w:tblCellMar>
            <w:top w:w="15" w:type="dxa"/>
            <w:left w:w="15" w:type="dxa"/>
            <w:bottom w:w="15" w:type="dxa"/>
            <w:right w:w="15" w:type="dxa"/>
          </w:tblCellMar>
        </w:tblPrEx>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第11次付款</w:t>
            </w:r>
          </w:p>
        </w:tc>
        <w:tc>
          <w:tcPr>
            <w:tcW w:w="22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验收无误</w:t>
            </w:r>
          </w:p>
        </w:tc>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8.33</w:t>
            </w:r>
          </w:p>
        </w:tc>
      </w:tr>
      <w:tr>
        <w:tblPrEx>
          <w:tblW w:w="5000" w:type="pct"/>
          <w:tblInd w:w="30" w:type="dxa"/>
          <w:tblCellMar>
            <w:top w:w="15" w:type="dxa"/>
            <w:left w:w="15" w:type="dxa"/>
            <w:bottom w:w="15" w:type="dxa"/>
            <w:right w:w="15" w:type="dxa"/>
          </w:tblCellMar>
        </w:tblPrEx>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第12次付款</w:t>
            </w:r>
          </w:p>
        </w:tc>
        <w:tc>
          <w:tcPr>
            <w:tcW w:w="22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验收无误</w:t>
            </w:r>
          </w:p>
        </w:tc>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8.37</w:t>
            </w:r>
          </w:p>
        </w:tc>
      </w:tr>
    </w:tbl>
    <w:p>
      <w:pPr>
        <w:pStyle w:val="Heading3"/>
        <w:keepNext w:val="0"/>
        <w:spacing w:before="0" w:after="0" w:line="360" w:lineRule="auto"/>
        <w:rPr>
          <w:rFonts w:ascii="仿宋_GB2312" w:eastAsia="仿宋_GB2312" w:hAnsi="仿宋_GB2312" w:cs="仿宋_GB2312"/>
          <w:b/>
          <w:bCs/>
          <w:sz w:val="28"/>
          <w:szCs w:val="28"/>
        </w:rPr>
      </w:pPr>
      <w:bookmarkStart w:id="37" w:name="_Toc256000034"/>
      <w:r>
        <w:rPr>
          <w:rFonts w:ascii="仿宋_GB2312" w:eastAsia="仿宋_GB2312" w:hAnsi="仿宋_GB2312" w:cs="仿宋_GB2312"/>
          <w:sz w:val="28"/>
          <w:szCs w:val="28"/>
        </w:rPr>
        <w:t>8.2.1付款方式</w:t>
      </w:r>
      <w:bookmarkEnd w:id="37"/>
    </w:p>
    <w:p>
      <w:pPr>
        <w:pStyle w:val="MsoNormal"/>
        <w:spacing w:before="0" w:after="0" w:line="360" w:lineRule="auto"/>
        <w:ind w:firstLine="640"/>
        <w:rPr>
          <w:rFonts w:ascii="Times New Roman" w:eastAsia="Times New Roman" w:hAnsi="Times New Roman" w:cs="Times New Roman"/>
        </w:rPr>
      </w:pPr>
      <w:r>
        <w:rPr>
          <w:rFonts w:ascii="FangSong" w:eastAsia="FangSong" w:hAnsi="FangSong" w:cs="FangSong"/>
          <w:sz w:val="32"/>
          <w:szCs w:val="32"/>
        </w:rPr>
        <w:t>合同签署且开始服务后采购人按月支付合同价款，根据中标供应商服务完成情况</w:t>
      </w:r>
      <w:r>
        <w:rPr>
          <w:rFonts w:ascii="FangSong" w:eastAsia="FangSong" w:hAnsi="FangSong" w:cs="FangSong"/>
          <w:sz w:val="32"/>
          <w:szCs w:val="32"/>
        </w:rPr>
        <w:t>以及考核结果</w:t>
      </w:r>
      <w:r>
        <w:rPr>
          <w:rFonts w:ascii="FangSong" w:eastAsia="FangSong" w:hAnsi="FangSong" w:cs="FangSong"/>
          <w:sz w:val="32"/>
          <w:szCs w:val="32"/>
        </w:rPr>
        <w:t>结算当月应支付金额。其他事项，以签订合同为准。</w:t>
      </w:r>
      <w:r>
        <w:rPr>
          <w:rFonts w:ascii="FangSong" w:eastAsia="FangSong" w:hAnsi="FangSong" w:cs="FangSong"/>
          <w:sz w:val="32"/>
          <w:szCs w:val="32"/>
        </w:rPr>
        <w:t>注：除本项目约定付款时限外（如有），本项目约定付款条件满足时，自双方确认结算金额且收到发票之日起10个工作日内支付。</w:t>
      </w:r>
    </w:p>
    <w:p>
      <w:pPr>
        <w:pStyle w:val="Heading2"/>
        <w:keepNext w:val="0"/>
        <w:spacing w:before="0" w:after="0" w:line="360" w:lineRule="auto"/>
        <w:rPr>
          <w:rFonts w:ascii="仿宋_GB2312" w:eastAsia="仿宋_GB2312" w:hAnsi="仿宋_GB2312" w:cs="仿宋_GB2312"/>
          <w:b/>
          <w:bCs/>
          <w:sz w:val="28"/>
          <w:szCs w:val="28"/>
        </w:rPr>
      </w:pPr>
      <w:bookmarkStart w:id="38" w:name="_Toc256000035"/>
      <w:r>
        <w:rPr>
          <w:rFonts w:ascii="仿宋_GB2312" w:eastAsia="仿宋_GB2312" w:hAnsi="仿宋_GB2312" w:cs="仿宋_GB2312"/>
          <w:i w:val="0"/>
          <w:iCs w:val="0"/>
        </w:rPr>
        <w:t>8.3其他要求</w:t>
      </w:r>
      <w:bookmarkEnd w:id="38"/>
    </w:p>
    <w:p>
      <w:pPr>
        <w:pStyle w:val="Heading3"/>
        <w:keepNext w:val="0"/>
        <w:spacing w:before="0" w:after="0" w:line="360" w:lineRule="auto"/>
        <w:rPr>
          <w:rFonts w:ascii="仿宋_GB2312" w:eastAsia="仿宋_GB2312" w:hAnsi="仿宋_GB2312" w:cs="仿宋_GB2312"/>
          <w:b/>
          <w:bCs/>
          <w:sz w:val="28"/>
          <w:szCs w:val="28"/>
        </w:rPr>
      </w:pPr>
      <w:bookmarkStart w:id="39" w:name="_Toc256000036"/>
      <w:r>
        <w:rPr>
          <w:rFonts w:ascii="仿宋_GB2312" w:eastAsia="仿宋_GB2312" w:hAnsi="仿宋_GB2312" w:cs="仿宋_GB2312"/>
          <w:sz w:val="28"/>
          <w:szCs w:val="28"/>
        </w:rPr>
        <w:t>8.3.1项目其他要求</w:t>
      </w:r>
      <w:bookmarkEnd w:id="39"/>
    </w:p>
    <w:p>
      <w:pPr>
        <w:pStyle w:val="MsoNormal"/>
        <w:spacing w:before="0" w:after="0" w:line="360" w:lineRule="auto"/>
        <w:ind w:firstLine="420"/>
        <w:rPr>
          <w:rFonts w:ascii="Times New Roman" w:eastAsia="Times New Roman" w:hAnsi="Times New Roman" w:cs="Times New Roman"/>
        </w:rPr>
      </w:pPr>
      <w:r>
        <w:rPr>
          <w:rFonts w:ascii="FangSong" w:eastAsia="FangSong" w:hAnsi="FangSong" w:cs="FangSong"/>
          <w:sz w:val="32"/>
          <w:szCs w:val="32"/>
        </w:rPr>
        <w:t>1.中标人对履行合同期内所发生的用工人员在任何时候、任何情况下发生的意外伤害事故等涉及的责任和事故赔偿负全部责任。</w:t>
      </w:r>
    </w:p>
    <w:p>
      <w:pPr>
        <w:pStyle w:val="MsoNormal"/>
        <w:spacing w:before="0" w:after="0" w:line="360" w:lineRule="auto"/>
        <w:ind w:firstLine="420"/>
        <w:rPr>
          <w:rFonts w:ascii="Times New Roman" w:eastAsia="Times New Roman" w:hAnsi="Times New Roman" w:cs="Times New Roman"/>
        </w:rPr>
      </w:pPr>
      <w:r>
        <w:rPr>
          <w:rFonts w:ascii="FangSong" w:eastAsia="FangSong" w:hAnsi="FangSong" w:cs="FangSong"/>
          <w:sz w:val="32"/>
          <w:szCs w:val="32"/>
        </w:rPr>
        <w:t>2.投标预算内费用包括但不限于：工资、绩效工资、五险一金、管理费、税费等一切成本，除此之外采购人不再支付其他费用。</w:t>
      </w:r>
    </w:p>
    <w:p>
      <w:pPr>
        <w:pStyle w:val="MsoNormal"/>
        <w:spacing w:before="0" w:after="0" w:line="360" w:lineRule="auto"/>
        <w:rPr>
          <w:rFonts w:ascii="Times New Roman" w:eastAsia="Times New Roman" w:hAnsi="Times New Roman" w:cs="Times New Roman"/>
        </w:rPr>
      </w:pPr>
      <w:r>
        <w:rPr>
          <w:rFonts w:ascii="FangSong" w:eastAsia="FangSong" w:hAnsi="FangSong" w:cs="FangSong"/>
          <w:sz w:val="32"/>
          <w:szCs w:val="32"/>
        </w:rPr>
        <w:t>  3.投标人的报价必须包括完成本次招标范围内全部项目，如报价中没有明确提出不包括在预算内的项目，将被视为在投标人的报价中已包含。</w:t>
      </w:r>
    </w:p>
    <w:p>
      <w:pPr>
        <w:pStyle w:val="MsoNormal"/>
        <w:spacing w:before="0" w:after="0" w:line="360" w:lineRule="auto"/>
        <w:rPr>
          <w:rFonts w:ascii="FangSong_GB2312" w:eastAsia="FangSong_GB2312" w:hAnsi="FangSong_GB2312" w:cs="FangSong_GB2312"/>
          <w:sz w:val="28"/>
          <w:szCs w:val="28"/>
        </w:rPr>
      </w:pPr>
      <w:r>
        <w:rPr>
          <w:rFonts w:ascii="FangSong_GB2312" w:eastAsia="FangSong_GB2312" w:hAnsi="FangSong_GB2312" w:cs="FangSong_GB2312"/>
          <w:sz w:val="32"/>
          <w:szCs w:val="32"/>
        </w:rPr>
        <w:t xml:space="preserve">    </w:t>
      </w:r>
    </w:p>
    <w:p>
      <w:pPr>
        <w:spacing w:before="0" w:after="0" w:line="360" w:lineRule="auto"/>
        <w:rPr>
          <w:rFonts w:ascii="FangSong_GB2312" w:eastAsia="FangSong_GB2312" w:hAnsi="FangSong_GB2312" w:cs="FangSong_GB2312"/>
          <w:sz w:val="28"/>
          <w:szCs w:val="28"/>
        </w:rPr>
      </w:pPr>
      <w:r>
        <w:rPr>
          <w:rFonts w:ascii="FangSong_GB2312" w:eastAsia="FangSong_GB2312" w:hAnsi="FangSong_GB2312" w:cs="FangSong_GB2312"/>
          <w:sz w:val="28"/>
          <w:szCs w:val="28"/>
        </w:rPr>
        <w:t> </w:t>
      </w:r>
    </w:p>
    <w:p>
      <w:pPr>
        <w:spacing w:before="0" w:after="0" w:line="360" w:lineRule="auto"/>
        <w:ind w:firstLine="561"/>
        <w:rPr>
          <w:rFonts w:ascii="仿宋_GB2312" w:eastAsia="仿宋_GB2312" w:hAnsi="仿宋_GB2312" w:cs="仿宋_GB2312"/>
          <w:sz w:val="28"/>
          <w:szCs w:val="28"/>
        </w:rPr>
      </w:pPr>
    </w:p>
    <w:sectPr>
      <w:footerReference w:type="default" r:id="rId4"/>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7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Calibri">
    <w:panose1 w:val="020F0502020204030204"/>
    <w:charset w:val="00"/>
    <w:family w:val="swiss"/>
    <w:pitch w:val="default"/>
    <w:sig w:usb0="E00002FF" w:usb1="4000ACFF" w:usb2="00000001" w:usb3="00000000" w:csb0="2000019F" w:csb1="00000000"/>
  </w:font>
  <w:font w:name="等线">
    <w:altName w:val="Arial Unicode MS"/>
    <w:panose1 w:val="02010600030101010101"/>
    <w:charset w:val="86"/>
    <w:family w:val="auto"/>
    <w:pitch w:val="default"/>
    <w:sig w:usb0="00000000" w:usb1="00000000" w:usb2="00000016" w:usb3="00000000" w:csb0="0004000F"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spacing w:before="0" w:after="0" w:line="360" w:lineRule="auto"/>
      <w:jc w:val="center"/>
    </w:pPr>
    <w:r>
      <w:fldChar w:fldCharType="begin"/>
    </w:r>
    <w:r>
      <w:instrText xml:space="preserve"> PAGE </w:instrText>
    </w:r>
    <w:r>
      <w:fldChar w:fldCharType="separate"/>
    </w:r>
    <w:r>
      <w:t>15</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stylePaneFormatFilter w:val="3F01"/>
  <w:defaultTabStop w:val="720"/>
  <w:noPunctuationKerning/>
  <w:characterSpacingControl w:val="doNotCompress"/>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77B3E"/>
    <w:rsid w:val="00A77B3E"/>
    <w:rsid w:val="00CA2A55"/>
  </w:rsids>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rPr>
  </w:style>
  <w:style w:type="paragraph" w:styleId="Heading1">
    <w:name w:val="heading 1"/>
    <w:basedOn w:val="Normal"/>
    <w:next w:val="Normal"/>
    <w:qFormat/>
    <w:rsid w:val="00EF7B96"/>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EF7B96"/>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EF7B96"/>
    <w:pPr>
      <w:keepNext/>
      <w:spacing w:before="240" w:after="60"/>
      <w:outlineLvl w:val="2"/>
    </w:pPr>
    <w:rPr>
      <w:rFonts w:ascii="Arial" w:hAnsi="Arial" w:cs="Arial"/>
      <w:b/>
      <w:bCs/>
      <w:sz w:val="26"/>
      <w:szCs w:val="26"/>
    </w:rPr>
  </w:style>
  <w:style w:type="paragraph" w:styleId="Heading4">
    <w:name w:val="heading 4"/>
    <w:basedOn w:val="Normal"/>
    <w:next w:val="Normal"/>
    <w:qFormat/>
    <w:rsid w:val="00EF7B96"/>
    <w:pPr>
      <w:keepNext/>
      <w:spacing w:before="240" w:after="60"/>
      <w:outlineLvl w:val="3"/>
    </w:pPr>
    <w:rPr>
      <w:b/>
      <w:bCs/>
      <w:sz w:val="28"/>
      <w:szCs w:val="28"/>
    </w:rPr>
  </w:style>
  <w:style w:type="paragraph" w:styleId="Heading5">
    <w:name w:val="heading 5"/>
    <w:basedOn w:val="Normal"/>
    <w:next w:val="Normal"/>
    <w:qFormat/>
    <w:rsid w:val="00EF7B96"/>
    <w:pPr>
      <w:spacing w:before="240" w:after="60"/>
      <w:outlineLvl w:val="4"/>
    </w:pPr>
    <w:rPr>
      <w:b/>
      <w:bCs/>
      <w:i/>
      <w:iCs/>
      <w:sz w:val="26"/>
      <w:szCs w:val="26"/>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MsoNormal">
    <w:name w:val="MsoNormal"/>
    <w:basedOn w:val="Normal"/>
  </w:style>
  <w:style w:type="paragraph" w:styleId="TOC1">
    <w:name w:val="toc 1"/>
    <w:basedOn w:val="Normal"/>
    <w:next w:val="Normal"/>
    <w:autoRedefine/>
    <w:rsid w:val="00805BCE"/>
  </w:style>
  <w:style w:type="character" w:styleId="Hyperlink">
    <w:name w:val="Hyperlink"/>
    <w:basedOn w:val="DefaultParagraphFont"/>
    <w:rsid w:val="00EF7B96"/>
    <w:rPr>
      <w:color w:val="0000FF"/>
      <w:u w:val="single"/>
    </w:rPr>
  </w:style>
  <w:style w:type="paragraph" w:styleId="TOC2">
    <w:name w:val="toc 2"/>
    <w:basedOn w:val="Normal"/>
    <w:next w:val="Normal"/>
    <w:autoRedefine/>
    <w:rsid w:val="00805BCE"/>
    <w:pPr>
      <w:ind w:left="240"/>
    </w:pPr>
  </w:style>
  <w:style w:type="paragraph" w:styleId="TOC3">
    <w:name w:val="toc 3"/>
    <w:basedOn w:val="Normal"/>
    <w:next w:val="Normal"/>
    <w:autoRedefine/>
    <w:rsid w:val="00805BCE"/>
    <w:pPr>
      <w:ind w:left="480"/>
    </w:p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theme" Target="theme/theme1.xml" /><Relationship Id="rId6" Type="http://schemas.openxmlformats.org/officeDocument/2006/relationships/styles" Target="styles.xml" /></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Template>
  <TotalTime>0</TotalTime>
  <Pages>15</Pages>
  <Words>0</Words>
  <Characters>0</Characters>
  <Application>Microsoft Office Word</Application>
  <DocSecurity>0</DocSecurity>
  <Lines>1</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cp:coreProperties>
</file>