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华文中宋" w:hAnsi="华文中宋" w:eastAsia="华文中宋" w:cs="华文中宋"/>
          <w:sz w:val="28"/>
          <w:szCs w:val="28"/>
        </w:rPr>
      </w:pPr>
      <w:del w:id="0" w:author="张碧容" w:date="2025-12-05T16:30:27Z">
        <w:bookmarkStart w:id="195" w:name="_GoBack"/>
        <w:bookmarkEnd w:id="195"/>
        <w:bookmarkStart w:id="0" w:name="_Toc132880285"/>
        <w:r>
          <w:rPr>
            <w:rFonts w:hint="eastAsia" w:ascii="华文中宋" w:hAnsi="华文中宋" w:eastAsia="华文中宋" w:cs="华文中宋"/>
            <w:sz w:val="28"/>
            <w:szCs w:val="28"/>
          </w:rPr>
          <w:delText xml:space="preserve">第六章  </w:delText>
        </w:r>
      </w:del>
      <w:r>
        <w:rPr>
          <w:rFonts w:hint="eastAsia" w:ascii="华文中宋" w:hAnsi="华文中宋" w:eastAsia="华文中宋" w:cs="华文中宋"/>
          <w:sz w:val="28"/>
          <w:szCs w:val="28"/>
        </w:rPr>
        <w:t>项目采购需求</w:t>
      </w:r>
      <w:bookmarkEnd w:id="0"/>
    </w:p>
    <w:p>
      <w:pPr>
        <w:widowControl/>
        <w:spacing w:line="360" w:lineRule="auto"/>
        <w:ind w:firstLine="0" w:firstLineChars="0"/>
        <w:jc w:val="center"/>
        <w:outlineLvl w:val="0"/>
        <w:rPr>
          <w:rFonts w:hint="default" w:ascii="宋体" w:hAnsi="宋体" w:eastAsia="宋体" w:cs="宋体"/>
          <w:b w:val="0"/>
          <w:bCs w:val="0"/>
          <w:kern w:val="0"/>
          <w:sz w:val="21"/>
          <w:szCs w:val="21"/>
          <w:lang w:val="en-US" w:eastAsia="zh-CN"/>
        </w:rPr>
      </w:pPr>
      <w:r>
        <w:rPr>
          <w:rFonts w:hint="eastAsia" w:ascii="宋体" w:hAnsi="宋体" w:eastAsia="宋体" w:cs="宋体"/>
          <w:b/>
          <w:bCs/>
          <w:kern w:val="36"/>
          <w:sz w:val="21"/>
          <w:szCs w:val="21"/>
        </w:rPr>
        <w:t>1项目概述</w:t>
      </w:r>
      <w:bookmarkStart w:id="1" w:name="_Toc8105"/>
      <w:bookmarkStart w:id="2" w:name="_Toc7069"/>
    </w:p>
    <w:p>
      <w:pPr>
        <w:widowControl/>
        <w:spacing w:line="360" w:lineRule="auto"/>
        <w:jc w:val="left"/>
        <w:outlineLvl w:val="0"/>
        <w:rPr>
          <w:rFonts w:hint="eastAsia" w:ascii="宋体" w:hAnsi="宋体" w:eastAsia="宋体" w:cs="宋体"/>
          <w:b/>
          <w:bCs/>
          <w:i/>
          <w:iCs/>
          <w:kern w:val="0"/>
          <w:sz w:val="21"/>
          <w:szCs w:val="21"/>
        </w:rPr>
      </w:pPr>
      <w:r>
        <w:rPr>
          <w:rFonts w:hint="eastAsia" w:ascii="宋体" w:hAnsi="宋体" w:eastAsia="宋体" w:cs="宋体"/>
          <w:b/>
          <w:bCs/>
          <w:kern w:val="0"/>
          <w:sz w:val="21"/>
          <w:szCs w:val="21"/>
        </w:rPr>
        <w:t>1.</w:t>
      </w:r>
      <w:r>
        <w:rPr>
          <w:rFonts w:hint="eastAsia" w:ascii="宋体" w:hAnsi="宋体" w:eastAsia="宋体" w:cs="宋体"/>
          <w:b/>
          <w:bCs/>
          <w:kern w:val="0"/>
          <w:sz w:val="21"/>
          <w:szCs w:val="21"/>
          <w:lang w:val="en-US" w:eastAsia="zh-CN"/>
        </w:rPr>
        <w:t>1</w:t>
      </w:r>
      <w:r>
        <w:rPr>
          <w:rFonts w:hint="eastAsia" w:ascii="宋体" w:hAnsi="宋体" w:eastAsia="宋体" w:cs="宋体"/>
          <w:b/>
          <w:bCs/>
          <w:kern w:val="0"/>
          <w:sz w:val="21"/>
          <w:szCs w:val="21"/>
        </w:rPr>
        <w:t>项目背景</w:t>
      </w:r>
      <w:bookmarkEnd w:id="1"/>
      <w:bookmarkEnd w:id="2"/>
    </w:p>
    <w:p>
      <w:pPr>
        <w:widowControl/>
        <w:spacing w:line="360" w:lineRule="auto"/>
        <w:jc w:val="left"/>
        <w:outlineLvl w:val="2"/>
        <w:rPr>
          <w:rFonts w:hint="eastAsia" w:ascii="宋体" w:hAnsi="宋体" w:eastAsia="宋体" w:cs="宋体"/>
          <w:b/>
          <w:bCs/>
          <w:kern w:val="0"/>
          <w:sz w:val="21"/>
          <w:szCs w:val="21"/>
        </w:rPr>
      </w:pPr>
      <w:bookmarkStart w:id="3" w:name="_Toc7280"/>
      <w:bookmarkStart w:id="4" w:name="_Toc256000002"/>
      <w:bookmarkStart w:id="5" w:name="_Toc18411"/>
      <w:r>
        <w:rPr>
          <w:rFonts w:hint="eastAsia" w:ascii="宋体" w:hAnsi="宋体" w:eastAsia="宋体" w:cs="宋体"/>
          <w:b/>
          <w:bCs/>
          <w:kern w:val="0"/>
          <w:sz w:val="21"/>
          <w:szCs w:val="21"/>
        </w:rPr>
        <w:t>1.</w:t>
      </w:r>
      <w:r>
        <w:rPr>
          <w:rFonts w:hint="eastAsia" w:ascii="宋体" w:hAnsi="宋体" w:eastAsia="宋体" w:cs="宋体"/>
          <w:b/>
          <w:bCs/>
          <w:kern w:val="0"/>
          <w:sz w:val="21"/>
          <w:szCs w:val="21"/>
          <w:lang w:val="en-US" w:eastAsia="zh-CN"/>
        </w:rPr>
        <w:t>1</w:t>
      </w:r>
      <w:r>
        <w:rPr>
          <w:rFonts w:hint="eastAsia" w:ascii="宋体" w:hAnsi="宋体" w:eastAsia="宋体" w:cs="宋体"/>
          <w:b/>
          <w:bCs/>
          <w:kern w:val="0"/>
          <w:sz w:val="21"/>
          <w:szCs w:val="21"/>
        </w:rPr>
        <w:t>.1项目目的、意义及背景</w:t>
      </w:r>
      <w:bookmarkEnd w:id="3"/>
      <w:bookmarkEnd w:id="4"/>
      <w:bookmarkEnd w:id="5"/>
    </w:p>
    <w:p>
      <w:pPr>
        <w:widowControl/>
        <w:spacing w:line="360" w:lineRule="auto"/>
        <w:ind w:firstLine="420" w:firstLineChars="200"/>
        <w:jc w:val="both"/>
        <w:outlineLvl w:val="1"/>
        <w:rPr>
          <w:rFonts w:hint="eastAsia" w:ascii="宋体" w:hAnsi="宋体" w:eastAsia="宋体" w:cs="宋体"/>
          <w:kern w:val="0"/>
          <w:szCs w:val="21"/>
        </w:rPr>
      </w:pPr>
      <w:bookmarkStart w:id="6" w:name="_Toc25214"/>
      <w:bookmarkStart w:id="7" w:name="_Toc32184"/>
      <w:bookmarkStart w:id="8" w:name="_Toc995"/>
      <w:bookmarkStart w:id="9" w:name="_Toc256000003"/>
      <w:r>
        <w:rPr>
          <w:rFonts w:hint="eastAsia" w:ascii="宋体" w:hAnsi="宋体" w:eastAsia="宋体" w:cs="宋体"/>
          <w:kern w:val="0"/>
          <w:szCs w:val="21"/>
        </w:rPr>
        <w:t>国家税务总局大连市税务局第三税务分局组织实施管辖企业的各项税收、社会保险费、非税收入等征收管理，负责大连市四区房屋、土地交易等相关税费的征收管理工作。办税服务厅设置“前台”“中台”“后台”三大职能区域，前台配置导办咨询区域、自助办税区域、窗口区域等功能区域，中台设置征纳互动集中运营中心，负责征纳互动“问办协同”服务、办税服务厅对外公开电话受理、税费诉求收集，后台负责运营监控，强化办税服务运行数据、办税服务热点诉求等分析，完善渠道运行预警机制，统筹调度各类服务资源，推动服务渠道扎口运营管理；联合大连市不动产登记中心在部分银行增设“服务窗口”提供下沉服务；增开“电话和视频”咨询模式，网络咨询数量逐渐增大；开创“一窗办理”和“一岗通办”新的办税模式。</w:t>
      </w:r>
    </w:p>
    <w:p>
      <w:pPr>
        <w:widowControl/>
        <w:spacing w:line="360" w:lineRule="auto"/>
        <w:ind w:firstLine="420" w:firstLineChars="200"/>
        <w:jc w:val="both"/>
        <w:outlineLvl w:val="1"/>
        <w:rPr>
          <w:rFonts w:hint="eastAsia" w:ascii="宋体" w:hAnsi="宋体" w:eastAsia="宋体" w:cs="宋体"/>
          <w:kern w:val="0"/>
          <w:szCs w:val="21"/>
        </w:rPr>
      </w:pPr>
      <w:r>
        <w:rPr>
          <w:rFonts w:hint="eastAsia" w:ascii="宋体" w:hAnsi="宋体" w:eastAsia="宋体" w:cs="宋体"/>
          <w:kern w:val="0"/>
          <w:szCs w:val="21"/>
        </w:rPr>
        <w:t>为满足工作需求，保障税收工作顺利开展，进一步优化税收营商环境，为纳税人缴费人提供更加高效优质的服务，</w:t>
      </w:r>
      <w:r>
        <w:rPr>
          <w:rFonts w:hint="eastAsia" w:ascii="宋体" w:hAnsi="宋体" w:eastAsia="宋体" w:cs="宋体"/>
          <w:kern w:val="0"/>
          <w:szCs w:val="21"/>
          <w:lang w:eastAsia="zh-CN"/>
        </w:rPr>
        <w:t>分局</w:t>
      </w:r>
      <w:r>
        <w:rPr>
          <w:rFonts w:hint="eastAsia" w:ascii="宋体" w:hAnsi="宋体" w:eastAsia="宋体" w:cs="宋体"/>
          <w:kern w:val="0"/>
          <w:szCs w:val="21"/>
        </w:rPr>
        <w:t>拟采购非执法类辅助性服务。</w:t>
      </w:r>
    </w:p>
    <w:bookmarkEnd w:id="6"/>
    <w:bookmarkEnd w:id="7"/>
    <w:bookmarkEnd w:id="8"/>
    <w:p>
      <w:pPr>
        <w:widowControl/>
        <w:spacing w:line="360" w:lineRule="auto"/>
        <w:ind w:firstLine="0" w:firstLineChars="0"/>
        <w:jc w:val="left"/>
        <w:outlineLvl w:val="0"/>
        <w:rPr>
          <w:rFonts w:hint="eastAsia" w:ascii="宋体" w:hAnsi="宋体" w:eastAsia="宋体" w:cs="宋体"/>
          <w:b/>
          <w:bCs/>
          <w:kern w:val="0"/>
          <w:sz w:val="21"/>
          <w:szCs w:val="21"/>
          <w:lang w:eastAsia="en-US"/>
        </w:rPr>
      </w:pPr>
      <w:bookmarkStart w:id="10" w:name="_Toc23027"/>
      <w:bookmarkStart w:id="11" w:name="_Toc17199"/>
      <w:r>
        <w:rPr>
          <w:rFonts w:hint="eastAsia" w:ascii="宋体" w:hAnsi="宋体" w:eastAsia="宋体" w:cs="宋体"/>
          <w:b/>
          <w:bCs/>
          <w:kern w:val="0"/>
          <w:sz w:val="21"/>
          <w:szCs w:val="21"/>
          <w:lang w:eastAsia="en-US"/>
        </w:rPr>
        <w:t>1.</w:t>
      </w:r>
      <w:r>
        <w:rPr>
          <w:rFonts w:hint="eastAsia" w:ascii="宋体" w:hAnsi="宋体" w:eastAsia="宋体" w:cs="宋体"/>
          <w:b/>
          <w:bCs/>
          <w:kern w:val="0"/>
          <w:sz w:val="21"/>
          <w:szCs w:val="21"/>
          <w:lang w:val="en-US" w:eastAsia="zh-CN"/>
        </w:rPr>
        <w:t>2</w:t>
      </w:r>
      <w:r>
        <w:rPr>
          <w:rFonts w:hint="eastAsia" w:ascii="宋体" w:hAnsi="宋体" w:eastAsia="宋体" w:cs="宋体"/>
          <w:b/>
          <w:bCs/>
          <w:kern w:val="0"/>
          <w:sz w:val="21"/>
          <w:szCs w:val="21"/>
          <w:lang w:eastAsia="en-US"/>
        </w:rPr>
        <w:t>项目内容</w:t>
      </w:r>
      <w:bookmarkEnd w:id="9"/>
      <w:bookmarkEnd w:id="10"/>
      <w:bookmarkEnd w:id="11"/>
    </w:p>
    <w:p>
      <w:pPr>
        <w:widowControl/>
        <w:spacing w:line="360" w:lineRule="auto"/>
        <w:jc w:val="left"/>
        <w:outlineLvl w:val="1"/>
        <w:rPr>
          <w:rFonts w:hint="eastAsia" w:ascii="宋体" w:hAnsi="宋体" w:eastAsia="宋体" w:cs="宋体"/>
          <w:b/>
          <w:bCs/>
          <w:kern w:val="0"/>
          <w:sz w:val="21"/>
          <w:szCs w:val="21"/>
          <w:lang w:eastAsia="en-US"/>
        </w:rPr>
      </w:pPr>
      <w:bookmarkStart w:id="12" w:name="_Toc256000004"/>
      <w:bookmarkStart w:id="13" w:name="_Toc4241"/>
      <w:bookmarkStart w:id="14" w:name="_Toc5112"/>
      <w:r>
        <w:rPr>
          <w:rFonts w:hint="eastAsia" w:ascii="宋体" w:hAnsi="宋体" w:eastAsia="宋体" w:cs="宋体"/>
          <w:b/>
          <w:bCs/>
          <w:kern w:val="0"/>
          <w:sz w:val="21"/>
          <w:szCs w:val="21"/>
          <w:lang w:eastAsia="en-US"/>
        </w:rPr>
        <w:t>1.</w:t>
      </w:r>
      <w:r>
        <w:rPr>
          <w:rFonts w:hint="eastAsia" w:ascii="宋体" w:hAnsi="宋体" w:eastAsia="宋体" w:cs="宋体"/>
          <w:b/>
          <w:bCs/>
          <w:kern w:val="0"/>
          <w:sz w:val="21"/>
          <w:szCs w:val="21"/>
          <w:lang w:val="en-US" w:eastAsia="zh-CN"/>
        </w:rPr>
        <w:t>2</w:t>
      </w:r>
      <w:r>
        <w:rPr>
          <w:rFonts w:hint="eastAsia" w:ascii="宋体" w:hAnsi="宋体" w:eastAsia="宋体" w:cs="宋体"/>
          <w:b/>
          <w:bCs/>
          <w:kern w:val="0"/>
          <w:sz w:val="21"/>
          <w:szCs w:val="21"/>
          <w:lang w:eastAsia="en-US"/>
        </w:rPr>
        <w:t>.1采购内容</w:t>
      </w:r>
      <w:bookmarkEnd w:id="12"/>
      <w:bookmarkEnd w:id="13"/>
      <w:bookmarkEnd w:id="14"/>
    </w:p>
    <w:p>
      <w:pPr>
        <w:widowControl/>
        <w:spacing w:line="360" w:lineRule="auto"/>
        <w:ind w:firstLine="420" w:firstLineChars="200"/>
        <w:jc w:val="left"/>
        <w:outlineLvl w:val="1"/>
        <w:rPr>
          <w:rFonts w:hint="eastAsia" w:ascii="宋体" w:hAnsi="宋体" w:eastAsia="宋体" w:cs="宋体"/>
          <w:b/>
          <w:bCs/>
          <w:kern w:val="0"/>
          <w:sz w:val="21"/>
          <w:szCs w:val="21"/>
          <w:lang w:eastAsia="en-US"/>
        </w:rPr>
      </w:pPr>
      <w:bookmarkStart w:id="15" w:name="_Toc15921"/>
      <w:bookmarkStart w:id="16" w:name="_Toc6135"/>
      <w:bookmarkStart w:id="17" w:name="_Toc19710"/>
      <w:bookmarkStart w:id="18" w:name="_Toc256000005"/>
      <w:r>
        <w:rPr>
          <w:rFonts w:hint="eastAsia" w:ascii="宋体" w:hAnsi="宋体" w:eastAsia="宋体" w:cs="宋体"/>
          <w:kern w:val="0"/>
          <w:sz w:val="21"/>
          <w:szCs w:val="21"/>
          <w:lang w:val="en-US" w:eastAsia="zh-CN"/>
        </w:rPr>
        <w:t>本项目预算最高控制价金额为</w:t>
      </w:r>
      <w:r>
        <w:rPr>
          <w:rFonts w:hint="eastAsia" w:ascii="宋体" w:hAnsi="宋体" w:eastAsia="宋体" w:cs="宋体"/>
          <w:kern w:val="0"/>
          <w:sz w:val="21"/>
          <w:szCs w:val="21"/>
          <w:highlight w:val="none"/>
          <w:lang w:val="en-US" w:eastAsia="zh-CN"/>
        </w:rPr>
        <w:t>525.29</w:t>
      </w:r>
      <w:r>
        <w:rPr>
          <w:rFonts w:hint="eastAsia" w:ascii="宋体" w:hAnsi="宋体" w:eastAsia="宋体" w:cs="宋体"/>
          <w:kern w:val="0"/>
          <w:sz w:val="21"/>
          <w:szCs w:val="21"/>
          <w:lang w:val="en-US" w:eastAsia="zh-CN"/>
        </w:rPr>
        <w:t>万元，采购内容为国家税务总局大连市税务局第三税务分局采购非执法类辅助性纳税服务，项目内容为按照分局规章制度和岗位职责开展工作，协助分局在职干部为纳税人办理纳税咨询、征缴服务及其他相关工作，堵塞税收漏洞。服务工作主要内容为</w:t>
      </w:r>
      <w:r>
        <w:rPr>
          <w:rFonts w:hint="eastAsia" w:ascii="宋体" w:hAnsi="宋体" w:eastAsia="宋体" w:cs="宋体"/>
          <w:color w:val="0000FF"/>
          <w:kern w:val="0"/>
          <w:sz w:val="21"/>
          <w:szCs w:val="21"/>
          <w:lang w:val="en-US" w:eastAsia="zh-CN"/>
        </w:rPr>
        <w:t>：办税引导、咨询服务、自助服务等工作，非执法性的办税服务事项的受理或办理，业务资料的整理及其他纳税服务相关工作。</w:t>
      </w:r>
      <w:bookmarkEnd w:id="15"/>
      <w:bookmarkEnd w:id="16"/>
      <w:bookmarkEnd w:id="17"/>
      <w:bookmarkStart w:id="19" w:name="_Toc14674"/>
      <w:bookmarkStart w:id="20" w:name="_Toc22937"/>
    </w:p>
    <w:p>
      <w:pPr>
        <w:widowControl/>
        <w:spacing w:line="360" w:lineRule="auto"/>
        <w:jc w:val="left"/>
        <w:outlineLvl w:val="1"/>
        <w:rPr>
          <w:rFonts w:hint="eastAsia" w:ascii="宋体" w:hAnsi="宋体" w:eastAsia="宋体" w:cs="宋体"/>
          <w:b/>
          <w:bCs/>
          <w:kern w:val="0"/>
          <w:sz w:val="21"/>
          <w:szCs w:val="21"/>
          <w:lang w:eastAsia="en-US"/>
        </w:rPr>
      </w:pPr>
      <w:r>
        <w:rPr>
          <w:rFonts w:hint="eastAsia" w:ascii="宋体" w:hAnsi="宋体" w:eastAsia="宋体" w:cs="宋体"/>
          <w:b/>
          <w:bCs/>
          <w:kern w:val="0"/>
          <w:sz w:val="21"/>
          <w:szCs w:val="21"/>
          <w:lang w:eastAsia="en-US"/>
        </w:rPr>
        <w:t>1.</w:t>
      </w:r>
      <w:r>
        <w:rPr>
          <w:rFonts w:hint="eastAsia" w:ascii="宋体" w:hAnsi="宋体" w:eastAsia="宋体" w:cs="宋体"/>
          <w:b/>
          <w:bCs/>
          <w:kern w:val="0"/>
          <w:sz w:val="21"/>
          <w:szCs w:val="21"/>
          <w:lang w:val="en-US" w:eastAsia="zh-CN"/>
        </w:rPr>
        <w:t>2</w:t>
      </w:r>
      <w:r>
        <w:rPr>
          <w:rFonts w:hint="eastAsia" w:ascii="宋体" w:hAnsi="宋体" w:eastAsia="宋体" w:cs="宋体"/>
          <w:b/>
          <w:bCs/>
          <w:kern w:val="0"/>
          <w:sz w:val="21"/>
          <w:szCs w:val="21"/>
          <w:lang w:eastAsia="en-US"/>
        </w:rPr>
        <w:t>.2项目实施要求</w:t>
      </w:r>
      <w:bookmarkEnd w:id="18"/>
      <w:bookmarkEnd w:id="19"/>
      <w:bookmarkEnd w:id="20"/>
    </w:p>
    <w:p>
      <w:pPr>
        <w:widowControl/>
        <w:spacing w:line="360" w:lineRule="auto"/>
        <w:jc w:val="left"/>
        <w:outlineLvl w:val="1"/>
        <w:rPr>
          <w:rFonts w:hint="eastAsia" w:ascii="宋体" w:hAnsi="宋体" w:eastAsia="宋体" w:cs="宋体"/>
          <w:b/>
          <w:bCs/>
          <w:kern w:val="0"/>
          <w:sz w:val="21"/>
          <w:szCs w:val="21"/>
          <w:lang w:eastAsia="en-US"/>
        </w:rPr>
      </w:pPr>
      <w:bookmarkStart w:id="21" w:name="_Toc1524"/>
      <w:bookmarkStart w:id="22" w:name="_Toc23563"/>
      <w:r>
        <w:rPr>
          <w:rFonts w:hint="eastAsia" w:ascii="宋体" w:hAnsi="宋体" w:eastAsia="宋体" w:cs="宋体"/>
          <w:b/>
          <w:bCs/>
          <w:kern w:val="0"/>
          <w:sz w:val="21"/>
          <w:szCs w:val="21"/>
          <w:lang w:eastAsia="en-US"/>
        </w:rPr>
        <w:t>1.</w:t>
      </w:r>
      <w:r>
        <w:rPr>
          <w:rFonts w:hint="eastAsia" w:ascii="宋体" w:hAnsi="宋体" w:eastAsia="宋体" w:cs="宋体"/>
          <w:b/>
          <w:bCs/>
          <w:kern w:val="0"/>
          <w:sz w:val="21"/>
          <w:szCs w:val="21"/>
          <w:lang w:val="en-US" w:eastAsia="zh-CN"/>
        </w:rPr>
        <w:t>2</w:t>
      </w:r>
      <w:r>
        <w:rPr>
          <w:rFonts w:hint="eastAsia" w:ascii="宋体" w:hAnsi="宋体" w:eastAsia="宋体" w:cs="宋体"/>
          <w:b/>
          <w:bCs/>
          <w:kern w:val="0"/>
          <w:sz w:val="21"/>
          <w:szCs w:val="21"/>
          <w:lang w:eastAsia="en-US"/>
        </w:rPr>
        <w:t>.2.1实施范围要求</w:t>
      </w:r>
      <w:bookmarkEnd w:id="21"/>
      <w:bookmarkEnd w:id="22"/>
    </w:p>
    <w:p>
      <w:pPr>
        <w:widowControl/>
        <w:spacing w:line="360" w:lineRule="auto"/>
        <w:ind w:firstLine="420" w:firstLineChars="200"/>
        <w:jc w:val="both"/>
        <w:outlineLvl w:val="1"/>
        <w:rPr>
          <w:rFonts w:hint="eastAsia" w:ascii="宋体" w:hAnsi="宋体" w:eastAsia="宋体" w:cs="宋体"/>
          <w:kern w:val="0"/>
          <w:sz w:val="21"/>
          <w:szCs w:val="21"/>
        </w:rPr>
      </w:pPr>
      <w:bookmarkStart w:id="23" w:name="_Toc5937"/>
      <w:bookmarkStart w:id="24" w:name="_Toc24275"/>
      <w:bookmarkStart w:id="25" w:name="_Toc16604"/>
      <w:r>
        <w:rPr>
          <w:rFonts w:hint="eastAsia" w:ascii="宋体" w:hAnsi="宋体" w:eastAsia="宋体" w:cs="宋体"/>
          <w:kern w:val="0"/>
          <w:sz w:val="21"/>
          <w:szCs w:val="21"/>
        </w:rPr>
        <w:t>为国家税务总局大连市税务局第三税务分局提供非执法类辅助性服务。</w:t>
      </w:r>
      <w:bookmarkEnd w:id="23"/>
      <w:bookmarkEnd w:id="24"/>
      <w:bookmarkEnd w:id="25"/>
    </w:p>
    <w:p>
      <w:pPr>
        <w:widowControl/>
        <w:spacing w:line="360" w:lineRule="auto"/>
        <w:jc w:val="left"/>
        <w:outlineLvl w:val="1"/>
        <w:rPr>
          <w:rFonts w:hint="eastAsia" w:ascii="宋体" w:hAnsi="宋体" w:eastAsia="宋体" w:cs="宋体"/>
          <w:b/>
          <w:bCs/>
          <w:kern w:val="0"/>
          <w:sz w:val="21"/>
          <w:szCs w:val="21"/>
          <w:lang w:eastAsia="en-US"/>
        </w:rPr>
      </w:pPr>
      <w:bookmarkStart w:id="26" w:name="_Toc32017"/>
      <w:bookmarkStart w:id="27" w:name="_Toc5308"/>
      <w:r>
        <w:rPr>
          <w:rFonts w:hint="eastAsia" w:ascii="宋体" w:hAnsi="宋体" w:eastAsia="宋体" w:cs="宋体"/>
          <w:b/>
          <w:bCs/>
          <w:kern w:val="0"/>
          <w:sz w:val="21"/>
          <w:szCs w:val="21"/>
          <w:lang w:eastAsia="en-US"/>
        </w:rPr>
        <w:t>1.</w:t>
      </w:r>
      <w:r>
        <w:rPr>
          <w:rFonts w:hint="eastAsia" w:ascii="宋体" w:hAnsi="宋体" w:eastAsia="宋体" w:cs="宋体"/>
          <w:b/>
          <w:bCs/>
          <w:kern w:val="0"/>
          <w:sz w:val="21"/>
          <w:szCs w:val="21"/>
          <w:lang w:val="en-US" w:eastAsia="zh-CN"/>
        </w:rPr>
        <w:t>2</w:t>
      </w:r>
      <w:r>
        <w:rPr>
          <w:rFonts w:hint="eastAsia" w:ascii="宋体" w:hAnsi="宋体" w:eastAsia="宋体" w:cs="宋体"/>
          <w:b/>
          <w:bCs/>
          <w:kern w:val="0"/>
          <w:sz w:val="21"/>
          <w:szCs w:val="21"/>
          <w:lang w:eastAsia="en-US"/>
        </w:rPr>
        <w:t>.2.2实施时间要求</w:t>
      </w:r>
      <w:bookmarkEnd w:id="26"/>
      <w:bookmarkEnd w:id="27"/>
    </w:p>
    <w:p>
      <w:pPr>
        <w:widowControl/>
        <w:spacing w:line="360" w:lineRule="auto"/>
        <w:ind w:firstLine="420" w:firstLineChars="200"/>
        <w:jc w:val="both"/>
        <w:outlineLvl w:val="1"/>
        <w:rPr>
          <w:rFonts w:hint="eastAsia" w:ascii="宋体" w:hAnsi="宋体" w:eastAsia="宋体" w:cs="宋体"/>
          <w:kern w:val="0"/>
          <w:sz w:val="21"/>
          <w:szCs w:val="21"/>
          <w:lang w:eastAsia="zh-CN"/>
        </w:rPr>
      </w:pPr>
      <w:r>
        <w:rPr>
          <w:rFonts w:hint="eastAsia" w:ascii="宋体" w:hAnsi="宋体" w:eastAsia="宋体" w:cs="宋体"/>
          <w:kern w:val="0"/>
          <w:sz w:val="21"/>
          <w:szCs w:val="21"/>
          <w:lang w:eastAsia="zh-CN"/>
        </w:rPr>
        <w:t>服务期为自政府采购合同约定生效之日起一年。注：本项目服务期为三年，在年度预算保障、采购内容与价格不变的前提下，需求单位可以与中标人续签采购合同。合同应当一年一签，最多可续签两次。</w:t>
      </w:r>
    </w:p>
    <w:p>
      <w:pPr>
        <w:widowControl/>
        <w:spacing w:line="360" w:lineRule="auto"/>
        <w:jc w:val="left"/>
        <w:outlineLvl w:val="1"/>
        <w:rPr>
          <w:rFonts w:hint="eastAsia" w:ascii="宋体" w:hAnsi="宋体" w:eastAsia="宋体" w:cs="宋体"/>
          <w:b/>
          <w:bCs/>
          <w:kern w:val="0"/>
          <w:sz w:val="21"/>
          <w:szCs w:val="21"/>
          <w:lang w:eastAsia="en-US"/>
        </w:rPr>
      </w:pPr>
      <w:bookmarkStart w:id="28" w:name="_Toc6140"/>
      <w:bookmarkStart w:id="29" w:name="_Toc23866"/>
      <w:r>
        <w:rPr>
          <w:rFonts w:hint="eastAsia" w:ascii="宋体" w:hAnsi="宋体" w:eastAsia="宋体" w:cs="宋体"/>
          <w:b/>
          <w:bCs/>
          <w:kern w:val="0"/>
          <w:sz w:val="21"/>
          <w:szCs w:val="21"/>
          <w:lang w:eastAsia="en-US"/>
        </w:rPr>
        <w:t>1.</w:t>
      </w:r>
      <w:r>
        <w:rPr>
          <w:rFonts w:hint="eastAsia" w:ascii="宋体" w:hAnsi="宋体" w:eastAsia="宋体" w:cs="宋体"/>
          <w:b/>
          <w:bCs/>
          <w:kern w:val="0"/>
          <w:sz w:val="21"/>
          <w:szCs w:val="21"/>
          <w:lang w:val="en-US" w:eastAsia="zh-CN"/>
        </w:rPr>
        <w:t>2</w:t>
      </w:r>
      <w:r>
        <w:rPr>
          <w:rFonts w:hint="eastAsia" w:ascii="宋体" w:hAnsi="宋体" w:eastAsia="宋体" w:cs="宋体"/>
          <w:b/>
          <w:bCs/>
          <w:kern w:val="0"/>
          <w:sz w:val="21"/>
          <w:szCs w:val="21"/>
          <w:lang w:eastAsia="en-US"/>
        </w:rPr>
        <w:t>.2.3实施地点要求</w:t>
      </w:r>
      <w:bookmarkEnd w:id="28"/>
      <w:bookmarkEnd w:id="29"/>
    </w:p>
    <w:p>
      <w:pPr>
        <w:widowControl/>
        <w:spacing w:line="360" w:lineRule="auto"/>
        <w:ind w:firstLine="420" w:firstLineChars="200"/>
        <w:jc w:val="both"/>
        <w:outlineLvl w:val="1"/>
        <w:rPr>
          <w:rFonts w:hint="eastAsia" w:ascii="宋体" w:hAnsi="宋体" w:eastAsia="宋体" w:cs="宋体"/>
          <w:kern w:val="0"/>
          <w:sz w:val="21"/>
          <w:szCs w:val="21"/>
        </w:rPr>
      </w:pPr>
      <w:bookmarkStart w:id="30" w:name="_Toc31262"/>
      <w:bookmarkStart w:id="31" w:name="_Toc15343"/>
      <w:bookmarkStart w:id="32" w:name="_Toc17938"/>
      <w:r>
        <w:rPr>
          <w:rFonts w:hint="eastAsia" w:ascii="宋体" w:hAnsi="宋体" w:eastAsia="宋体" w:cs="宋体"/>
          <w:kern w:val="0"/>
          <w:sz w:val="21"/>
          <w:szCs w:val="21"/>
        </w:rPr>
        <w:t>国家税务总局大连市税务局第三税务分局指定地点。</w:t>
      </w:r>
      <w:bookmarkEnd w:id="30"/>
      <w:bookmarkEnd w:id="31"/>
      <w:bookmarkEnd w:id="32"/>
    </w:p>
    <w:p>
      <w:pPr>
        <w:spacing w:line="360" w:lineRule="auto"/>
        <w:jc w:val="center"/>
        <w:outlineLvl w:val="0"/>
        <w:rPr>
          <w:rFonts w:hint="eastAsia" w:ascii="宋体" w:hAnsi="宋体" w:eastAsia="宋体" w:cs="宋体"/>
          <w:b/>
          <w:bCs/>
          <w:kern w:val="36"/>
          <w:sz w:val="21"/>
          <w:szCs w:val="21"/>
        </w:rPr>
      </w:pPr>
      <w:bookmarkStart w:id="33" w:name="_Toc4297"/>
      <w:bookmarkStart w:id="34" w:name="_Toc256000006"/>
      <w:bookmarkStart w:id="35" w:name="_Toc4240"/>
      <w:r>
        <w:rPr>
          <w:rFonts w:hint="eastAsia" w:ascii="宋体" w:hAnsi="宋体" w:eastAsia="宋体" w:cs="宋体"/>
          <w:b/>
          <w:bCs/>
          <w:kern w:val="36"/>
          <w:sz w:val="21"/>
          <w:szCs w:val="21"/>
        </w:rPr>
        <w:t>2投标/响应要求</w:t>
      </w:r>
      <w:bookmarkEnd w:id="33"/>
      <w:bookmarkEnd w:id="34"/>
      <w:bookmarkEnd w:id="35"/>
    </w:p>
    <w:p>
      <w:pPr>
        <w:widowControl/>
        <w:spacing w:line="360" w:lineRule="auto"/>
        <w:jc w:val="left"/>
        <w:outlineLvl w:val="0"/>
        <w:rPr>
          <w:rFonts w:hint="eastAsia" w:ascii="宋体" w:hAnsi="宋体" w:eastAsia="宋体" w:cs="宋体"/>
          <w:b/>
          <w:bCs/>
          <w:kern w:val="0"/>
          <w:sz w:val="21"/>
          <w:szCs w:val="21"/>
          <w:lang w:eastAsia="en-US"/>
        </w:rPr>
      </w:pPr>
      <w:bookmarkStart w:id="36" w:name="_Toc256000007"/>
      <w:bookmarkStart w:id="37" w:name="_Toc9669"/>
      <w:bookmarkStart w:id="38" w:name="_Toc6385"/>
      <w:r>
        <w:rPr>
          <w:rFonts w:hint="eastAsia" w:ascii="宋体" w:hAnsi="宋体" w:eastAsia="宋体" w:cs="宋体"/>
          <w:b/>
          <w:bCs/>
          <w:kern w:val="0"/>
          <w:sz w:val="21"/>
          <w:szCs w:val="21"/>
          <w:lang w:eastAsia="en-US"/>
        </w:rPr>
        <w:t>2.1对供应商的要求</w:t>
      </w:r>
      <w:bookmarkEnd w:id="36"/>
      <w:bookmarkEnd w:id="37"/>
      <w:bookmarkEnd w:id="38"/>
    </w:p>
    <w:p>
      <w:pPr>
        <w:widowControl/>
        <w:spacing w:line="360" w:lineRule="auto"/>
        <w:jc w:val="left"/>
        <w:outlineLvl w:val="1"/>
        <w:rPr>
          <w:rFonts w:hint="eastAsia" w:ascii="宋体" w:hAnsi="宋体" w:eastAsia="宋体" w:cs="宋体"/>
          <w:b/>
          <w:bCs/>
          <w:kern w:val="0"/>
          <w:sz w:val="21"/>
          <w:szCs w:val="21"/>
          <w:lang w:eastAsia="en-US"/>
        </w:rPr>
      </w:pPr>
      <w:bookmarkStart w:id="39" w:name="_Toc256000008"/>
      <w:bookmarkStart w:id="40" w:name="_Toc8043"/>
      <w:bookmarkStart w:id="41" w:name="_Toc28487"/>
      <w:r>
        <w:rPr>
          <w:rFonts w:hint="eastAsia" w:ascii="宋体" w:hAnsi="宋体" w:eastAsia="宋体" w:cs="宋体"/>
          <w:b/>
          <w:bCs/>
          <w:kern w:val="0"/>
          <w:sz w:val="21"/>
          <w:szCs w:val="21"/>
          <w:lang w:eastAsia="en-US"/>
        </w:rPr>
        <w:t>2.1.1必备资质</w:t>
      </w:r>
      <w:bookmarkEnd w:id="39"/>
      <w:bookmarkEnd w:id="40"/>
      <w:bookmarkEnd w:id="41"/>
    </w:p>
    <w:p>
      <w:pPr>
        <w:widowControl/>
        <w:spacing w:line="360" w:lineRule="auto"/>
        <w:jc w:val="left"/>
        <w:outlineLvl w:val="1"/>
        <w:rPr>
          <w:rFonts w:hint="eastAsia" w:ascii="宋体" w:hAnsi="宋体" w:eastAsia="宋体" w:cs="宋体"/>
          <w:b/>
          <w:bCs/>
          <w:kern w:val="0"/>
          <w:sz w:val="21"/>
          <w:szCs w:val="21"/>
          <w:lang w:eastAsia="en-US"/>
        </w:rPr>
      </w:pPr>
      <w:bookmarkStart w:id="42" w:name="_Toc25816"/>
      <w:bookmarkStart w:id="43" w:name="_Toc466"/>
      <w:r>
        <w:rPr>
          <w:rFonts w:hint="eastAsia" w:ascii="宋体" w:hAnsi="宋体" w:eastAsia="宋体" w:cs="宋体"/>
          <w:b/>
          <w:bCs/>
          <w:kern w:val="0"/>
          <w:sz w:val="21"/>
          <w:szCs w:val="21"/>
          <w:lang w:eastAsia="en-US"/>
        </w:rPr>
        <w:t>2.1.1.1投标人应遵守有关国家法律、法规和条例,具备《中华人民共和国政府采购法》第二十二条的规定和本文件中规定的条件。</w:t>
      </w:r>
      <w:bookmarkEnd w:id="42"/>
      <w:bookmarkEnd w:id="43"/>
    </w:p>
    <w:p>
      <w:pPr>
        <w:widowControl/>
        <w:spacing w:line="360" w:lineRule="auto"/>
        <w:ind w:firstLine="420" w:firstLineChars="200"/>
        <w:jc w:val="both"/>
        <w:outlineLvl w:val="1"/>
        <w:rPr>
          <w:rFonts w:hint="eastAsia" w:ascii="宋体" w:hAnsi="宋体" w:eastAsia="宋体" w:cs="宋体"/>
          <w:kern w:val="0"/>
          <w:sz w:val="21"/>
          <w:szCs w:val="21"/>
        </w:rPr>
      </w:pPr>
      <w:bookmarkStart w:id="44" w:name="_Toc10481"/>
      <w:bookmarkStart w:id="45" w:name="_Toc7600"/>
      <w:r>
        <w:rPr>
          <w:rFonts w:hint="eastAsia" w:ascii="宋体" w:hAnsi="宋体" w:eastAsia="宋体" w:cs="宋体"/>
          <w:kern w:val="0"/>
          <w:sz w:val="21"/>
          <w:szCs w:val="21"/>
        </w:rPr>
        <w:t>1.符合国家有关法律规定，在中国境内（指关境内）注册。</w:t>
      </w:r>
      <w:bookmarkEnd w:id="44"/>
      <w:bookmarkEnd w:id="45"/>
    </w:p>
    <w:p>
      <w:pPr>
        <w:widowControl/>
        <w:spacing w:line="360" w:lineRule="auto"/>
        <w:ind w:firstLine="420" w:firstLineChars="200"/>
        <w:jc w:val="both"/>
        <w:outlineLvl w:val="1"/>
        <w:rPr>
          <w:rFonts w:hint="eastAsia" w:ascii="宋体" w:hAnsi="宋体" w:eastAsia="宋体" w:cs="宋体"/>
          <w:kern w:val="0"/>
          <w:sz w:val="21"/>
          <w:szCs w:val="21"/>
        </w:rPr>
      </w:pPr>
      <w:bookmarkStart w:id="46" w:name="_Toc696"/>
      <w:bookmarkStart w:id="47" w:name="_Toc11658"/>
      <w:r>
        <w:rPr>
          <w:rFonts w:hint="eastAsia" w:ascii="宋体" w:hAnsi="宋体" w:eastAsia="宋体" w:cs="宋体"/>
          <w:kern w:val="0"/>
          <w:sz w:val="21"/>
          <w:szCs w:val="21"/>
        </w:rPr>
        <w:t>2.投标人应遵守有关国家法律、法规和条例,具备《中华人民共和国政府采购法》第二十二条的规定和本文件中规定的条件：</w:t>
      </w:r>
      <w:bookmarkEnd w:id="46"/>
      <w:bookmarkEnd w:id="47"/>
    </w:p>
    <w:p>
      <w:pPr>
        <w:widowControl/>
        <w:spacing w:line="360" w:lineRule="auto"/>
        <w:ind w:firstLine="420" w:firstLineChars="200"/>
        <w:jc w:val="both"/>
        <w:outlineLvl w:val="1"/>
        <w:rPr>
          <w:rFonts w:hint="eastAsia" w:ascii="宋体" w:hAnsi="宋体" w:eastAsia="宋体" w:cs="宋体"/>
          <w:kern w:val="0"/>
          <w:sz w:val="21"/>
          <w:szCs w:val="21"/>
        </w:rPr>
      </w:pPr>
      <w:bookmarkStart w:id="48" w:name="_Toc6555"/>
      <w:bookmarkStart w:id="49" w:name="_Toc31184"/>
      <w:r>
        <w:rPr>
          <w:rFonts w:hint="eastAsia" w:ascii="宋体" w:hAnsi="宋体" w:eastAsia="宋体" w:cs="宋体"/>
          <w:kern w:val="0"/>
          <w:sz w:val="21"/>
          <w:szCs w:val="21"/>
        </w:rPr>
        <w:t>(1)具有独立承担民事责任的能力；</w:t>
      </w:r>
      <w:bookmarkEnd w:id="48"/>
      <w:bookmarkEnd w:id="49"/>
    </w:p>
    <w:p>
      <w:pPr>
        <w:widowControl/>
        <w:spacing w:line="360" w:lineRule="auto"/>
        <w:ind w:firstLine="420" w:firstLineChars="200"/>
        <w:jc w:val="both"/>
        <w:outlineLvl w:val="1"/>
        <w:rPr>
          <w:rFonts w:hint="eastAsia" w:ascii="宋体" w:hAnsi="宋体" w:eastAsia="宋体" w:cs="宋体"/>
          <w:kern w:val="0"/>
          <w:sz w:val="21"/>
          <w:szCs w:val="21"/>
        </w:rPr>
      </w:pPr>
      <w:bookmarkStart w:id="50" w:name="_Toc28401"/>
      <w:bookmarkStart w:id="51" w:name="_Toc25853"/>
      <w:r>
        <w:rPr>
          <w:rFonts w:hint="eastAsia" w:ascii="宋体" w:hAnsi="宋体" w:eastAsia="宋体" w:cs="宋体"/>
          <w:kern w:val="0"/>
          <w:sz w:val="21"/>
          <w:szCs w:val="21"/>
        </w:rPr>
        <w:t>(2)具有良好的商业信誉和健全的财务会计制度；</w:t>
      </w:r>
      <w:bookmarkEnd w:id="50"/>
      <w:bookmarkEnd w:id="51"/>
    </w:p>
    <w:p>
      <w:pPr>
        <w:widowControl/>
        <w:spacing w:line="360" w:lineRule="auto"/>
        <w:ind w:firstLine="420" w:firstLineChars="200"/>
        <w:jc w:val="both"/>
        <w:outlineLvl w:val="1"/>
        <w:rPr>
          <w:rFonts w:hint="eastAsia" w:ascii="宋体" w:hAnsi="宋体" w:eastAsia="宋体" w:cs="宋体"/>
          <w:kern w:val="0"/>
          <w:sz w:val="21"/>
          <w:szCs w:val="21"/>
        </w:rPr>
      </w:pPr>
      <w:bookmarkStart w:id="52" w:name="_Toc22886"/>
      <w:bookmarkStart w:id="53" w:name="_Toc7338"/>
      <w:r>
        <w:rPr>
          <w:rFonts w:hint="eastAsia" w:ascii="宋体" w:hAnsi="宋体" w:eastAsia="宋体" w:cs="宋体"/>
          <w:kern w:val="0"/>
          <w:sz w:val="21"/>
          <w:szCs w:val="21"/>
        </w:rPr>
        <w:t>(3)具有履行合同所必需的设备和专业技术能力；</w:t>
      </w:r>
      <w:bookmarkEnd w:id="52"/>
      <w:bookmarkEnd w:id="53"/>
    </w:p>
    <w:p>
      <w:pPr>
        <w:widowControl/>
        <w:spacing w:line="360" w:lineRule="auto"/>
        <w:ind w:firstLine="420" w:firstLineChars="200"/>
        <w:jc w:val="both"/>
        <w:outlineLvl w:val="1"/>
        <w:rPr>
          <w:rFonts w:hint="eastAsia" w:ascii="宋体" w:hAnsi="宋体" w:eastAsia="宋体" w:cs="宋体"/>
          <w:kern w:val="0"/>
          <w:sz w:val="21"/>
          <w:szCs w:val="21"/>
        </w:rPr>
      </w:pPr>
      <w:bookmarkStart w:id="54" w:name="_Toc30057"/>
      <w:bookmarkStart w:id="55" w:name="_Toc2650"/>
      <w:r>
        <w:rPr>
          <w:rFonts w:hint="eastAsia" w:ascii="宋体" w:hAnsi="宋体" w:eastAsia="宋体" w:cs="宋体"/>
          <w:kern w:val="0"/>
          <w:sz w:val="21"/>
          <w:szCs w:val="21"/>
        </w:rPr>
        <w:t>(4)有依法缴纳税收和社会保障资金的良好记录；</w:t>
      </w:r>
      <w:bookmarkEnd w:id="54"/>
      <w:bookmarkEnd w:id="55"/>
    </w:p>
    <w:p>
      <w:pPr>
        <w:widowControl/>
        <w:spacing w:line="360" w:lineRule="auto"/>
        <w:ind w:firstLine="420" w:firstLineChars="200"/>
        <w:jc w:val="both"/>
        <w:outlineLvl w:val="1"/>
        <w:rPr>
          <w:rFonts w:hint="eastAsia" w:ascii="宋体" w:hAnsi="宋体" w:eastAsia="宋体" w:cs="宋体"/>
          <w:kern w:val="0"/>
          <w:sz w:val="21"/>
          <w:szCs w:val="21"/>
        </w:rPr>
      </w:pPr>
      <w:bookmarkStart w:id="56" w:name="_Toc9318"/>
      <w:bookmarkStart w:id="57" w:name="_Toc7315"/>
      <w:r>
        <w:rPr>
          <w:rFonts w:hint="eastAsia" w:ascii="宋体" w:hAnsi="宋体" w:eastAsia="宋体" w:cs="宋体"/>
          <w:kern w:val="0"/>
          <w:sz w:val="21"/>
          <w:szCs w:val="21"/>
        </w:rPr>
        <w:t>(5)参加政府采购活动前三年内，在经营活动中没有重大违法记录；</w:t>
      </w:r>
      <w:bookmarkEnd w:id="56"/>
      <w:bookmarkEnd w:id="57"/>
    </w:p>
    <w:p>
      <w:pPr>
        <w:widowControl/>
        <w:spacing w:line="360" w:lineRule="auto"/>
        <w:ind w:firstLine="420" w:firstLineChars="200"/>
        <w:jc w:val="both"/>
        <w:outlineLvl w:val="1"/>
        <w:rPr>
          <w:rFonts w:hint="eastAsia" w:ascii="宋体" w:hAnsi="宋体" w:eastAsia="宋体" w:cs="宋体"/>
          <w:kern w:val="0"/>
          <w:sz w:val="21"/>
          <w:szCs w:val="21"/>
        </w:rPr>
      </w:pPr>
      <w:bookmarkStart w:id="58" w:name="_Toc18364"/>
      <w:bookmarkStart w:id="59" w:name="_Toc3792"/>
      <w:r>
        <w:rPr>
          <w:rFonts w:hint="eastAsia" w:ascii="宋体" w:hAnsi="宋体" w:eastAsia="宋体" w:cs="宋体"/>
          <w:kern w:val="0"/>
          <w:sz w:val="21"/>
          <w:szCs w:val="21"/>
        </w:rPr>
        <w:t>(6)法律、行政法规规定的其他条件。</w:t>
      </w:r>
      <w:bookmarkEnd w:id="58"/>
      <w:bookmarkEnd w:id="59"/>
    </w:p>
    <w:p>
      <w:pPr>
        <w:widowControl/>
        <w:spacing w:line="360" w:lineRule="auto"/>
        <w:jc w:val="left"/>
        <w:outlineLvl w:val="1"/>
        <w:rPr>
          <w:rFonts w:hint="eastAsia" w:ascii="宋体" w:hAnsi="宋体" w:eastAsia="宋体" w:cs="宋体"/>
          <w:b/>
          <w:bCs/>
          <w:kern w:val="0"/>
          <w:sz w:val="21"/>
          <w:szCs w:val="21"/>
          <w:lang w:eastAsia="en-US"/>
        </w:rPr>
      </w:pPr>
      <w:bookmarkStart w:id="60" w:name="_Toc1459"/>
      <w:bookmarkStart w:id="61" w:name="_Toc10274"/>
      <w:r>
        <w:rPr>
          <w:rFonts w:hint="eastAsia" w:ascii="宋体" w:hAnsi="宋体" w:eastAsia="宋体" w:cs="宋体"/>
          <w:b/>
          <w:bCs/>
          <w:kern w:val="0"/>
          <w:sz w:val="21"/>
          <w:szCs w:val="21"/>
          <w:lang w:eastAsia="en-US"/>
        </w:rPr>
        <w:t>2.1.1.2本项目的特定资格要求</w:t>
      </w:r>
      <w:bookmarkEnd w:id="60"/>
      <w:bookmarkEnd w:id="61"/>
    </w:p>
    <w:p>
      <w:pPr>
        <w:widowControl/>
        <w:spacing w:line="360" w:lineRule="auto"/>
        <w:ind w:firstLine="420" w:firstLineChars="200"/>
        <w:jc w:val="both"/>
        <w:outlineLvl w:val="1"/>
        <w:rPr>
          <w:rFonts w:hint="eastAsia" w:ascii="宋体" w:hAnsi="宋体" w:eastAsia="宋体" w:cs="宋体"/>
          <w:kern w:val="0"/>
          <w:sz w:val="21"/>
          <w:szCs w:val="21"/>
        </w:rPr>
      </w:pPr>
      <w:bookmarkStart w:id="62" w:name="_Toc22123"/>
      <w:bookmarkStart w:id="63" w:name="_Toc7847"/>
      <w:r>
        <w:rPr>
          <w:rFonts w:hint="eastAsia" w:ascii="宋体" w:hAnsi="宋体" w:eastAsia="宋体" w:cs="宋体"/>
          <w:kern w:val="0"/>
          <w:sz w:val="21"/>
          <w:szCs w:val="21"/>
        </w:rPr>
        <w:t>无</w:t>
      </w:r>
      <w:bookmarkEnd w:id="62"/>
      <w:bookmarkEnd w:id="63"/>
    </w:p>
    <w:p>
      <w:pPr>
        <w:widowControl/>
        <w:spacing w:line="360" w:lineRule="auto"/>
        <w:jc w:val="left"/>
        <w:outlineLvl w:val="1"/>
        <w:rPr>
          <w:rFonts w:hint="eastAsia" w:ascii="宋体" w:hAnsi="宋体" w:eastAsia="宋体" w:cs="宋体"/>
          <w:b/>
          <w:bCs/>
          <w:kern w:val="0"/>
          <w:sz w:val="21"/>
          <w:szCs w:val="21"/>
          <w:lang w:eastAsia="en-US"/>
        </w:rPr>
      </w:pPr>
      <w:bookmarkStart w:id="64" w:name="_Toc26546"/>
      <w:bookmarkStart w:id="65" w:name="_Toc256000009"/>
      <w:bookmarkStart w:id="66" w:name="_Toc4354"/>
      <w:r>
        <w:rPr>
          <w:rFonts w:hint="eastAsia" w:ascii="宋体" w:hAnsi="宋体" w:eastAsia="宋体" w:cs="宋体"/>
          <w:b/>
          <w:bCs/>
          <w:kern w:val="0"/>
          <w:sz w:val="21"/>
          <w:szCs w:val="21"/>
          <w:lang w:eastAsia="en-US"/>
        </w:rPr>
        <w:t>2.1.2优选资质/优选指标</w:t>
      </w:r>
      <w:bookmarkEnd w:id="64"/>
      <w:bookmarkEnd w:id="65"/>
      <w:bookmarkEnd w:id="66"/>
    </w:p>
    <w:p>
      <w:pPr>
        <w:widowControl/>
        <w:spacing w:line="360" w:lineRule="auto"/>
        <w:jc w:val="left"/>
        <w:outlineLvl w:val="2"/>
        <w:rPr>
          <w:rFonts w:hint="eastAsia" w:ascii="宋体" w:hAnsi="宋体" w:eastAsia="宋体" w:cs="宋体"/>
          <w:b/>
          <w:bCs/>
          <w:kern w:val="0"/>
          <w:sz w:val="21"/>
          <w:szCs w:val="21"/>
          <w:lang w:eastAsia="en-US"/>
        </w:rPr>
      </w:pPr>
      <w:bookmarkStart w:id="67" w:name="_Toc13399"/>
      <w:bookmarkStart w:id="68" w:name="_Toc27533"/>
      <w:r>
        <w:rPr>
          <w:rFonts w:hint="eastAsia" w:ascii="宋体" w:hAnsi="宋体" w:eastAsia="宋体" w:cs="宋体"/>
          <w:b/>
          <w:bCs/>
          <w:kern w:val="0"/>
          <w:sz w:val="21"/>
          <w:szCs w:val="21"/>
          <w:lang w:eastAsia="en-US"/>
        </w:rPr>
        <w:t>2.1.2.1相关证书</w:t>
      </w:r>
      <w:bookmarkEnd w:id="67"/>
      <w:bookmarkEnd w:id="68"/>
    </w:p>
    <w:tbl>
      <w:tblPr>
        <w:tblStyle w:val="20"/>
        <w:tblW w:w="4998" w:type="pct"/>
        <w:jc w:val="center"/>
        <w:tblLayout w:type="autofit"/>
        <w:tblCellMar>
          <w:top w:w="15" w:type="dxa"/>
          <w:left w:w="15" w:type="dxa"/>
          <w:bottom w:w="15" w:type="dxa"/>
          <w:right w:w="15" w:type="dxa"/>
        </w:tblCellMar>
      </w:tblPr>
      <w:tblGrid>
        <w:gridCol w:w="542"/>
        <w:gridCol w:w="2090"/>
        <w:gridCol w:w="5715"/>
      </w:tblGrid>
      <w:tr>
        <w:tblPrEx>
          <w:tblCellMar>
            <w:top w:w="15" w:type="dxa"/>
            <w:left w:w="15" w:type="dxa"/>
            <w:bottom w:w="15" w:type="dxa"/>
            <w:right w:w="15" w:type="dxa"/>
          </w:tblCellMar>
        </w:tblPrEx>
        <w:trPr>
          <w:jc w:val="center"/>
        </w:trPr>
        <w:tc>
          <w:tcPr>
            <w:tcW w:w="492" w:type="pct"/>
            <w:tcBorders>
              <w:top w:val="single" w:color="000000" w:sz="6" w:space="0"/>
              <w:left w:val="single" w:color="000000" w:sz="6" w:space="0"/>
              <w:bottom w:val="single" w:color="000000" w:sz="6" w:space="0"/>
              <w:right w:val="single" w:color="000000" w:sz="6" w:space="0"/>
            </w:tcBorders>
            <w:shd w:val="clear" w:color="auto" w:fill="D3D3D3"/>
            <w:tcMar>
              <w:top w:w="22" w:type="dxa"/>
              <w:left w:w="22" w:type="dxa"/>
              <w:bottom w:w="22" w:type="dxa"/>
              <w:right w:w="22" w:type="dxa"/>
            </w:tcMar>
            <w:vAlign w:val="center"/>
          </w:tcPr>
          <w:p>
            <w:pPr>
              <w:keepNext w:val="0"/>
              <w:keepLines w:val="0"/>
              <w:widowControl/>
              <w:suppressLineNumbers w:val="0"/>
              <w:spacing w:before="0" w:beforeAutospacing="0" w:after="0" w:afterAutospacing="0" w:line="360" w:lineRule="auto"/>
              <w:ind w:left="0" w:right="0"/>
              <w:jc w:val="center"/>
              <w:rPr>
                <w:rFonts w:hint="eastAsia" w:ascii="宋体" w:hAnsi="宋体" w:eastAsia="宋体" w:cs="宋体"/>
                <w:b/>
                <w:bCs/>
                <w:color w:val="000000"/>
                <w:kern w:val="0"/>
                <w:sz w:val="21"/>
                <w:szCs w:val="21"/>
                <w:highlight w:val="none"/>
                <w:lang w:eastAsia="en-US"/>
              </w:rPr>
            </w:pPr>
            <w:r>
              <w:rPr>
                <w:rFonts w:hint="eastAsia" w:ascii="宋体" w:hAnsi="宋体" w:eastAsia="宋体" w:cs="宋体"/>
                <w:b/>
                <w:bCs/>
                <w:color w:val="000000"/>
                <w:kern w:val="0"/>
                <w:sz w:val="21"/>
                <w:szCs w:val="21"/>
                <w:highlight w:val="none"/>
                <w:lang w:eastAsia="en-US"/>
              </w:rPr>
              <w:t>序号</w:t>
            </w:r>
          </w:p>
        </w:tc>
        <w:tc>
          <w:tcPr>
            <w:tcW w:w="1419" w:type="pct"/>
            <w:tcBorders>
              <w:top w:val="single" w:color="000000" w:sz="6" w:space="0"/>
              <w:left w:val="single" w:color="000000" w:sz="6" w:space="0"/>
              <w:bottom w:val="single" w:color="000000" w:sz="6" w:space="0"/>
              <w:right w:val="single" w:color="000000" w:sz="6" w:space="0"/>
            </w:tcBorders>
            <w:shd w:val="clear" w:color="auto" w:fill="D3D3D3"/>
            <w:tcMar>
              <w:top w:w="22" w:type="dxa"/>
              <w:left w:w="22" w:type="dxa"/>
              <w:bottom w:w="22" w:type="dxa"/>
              <w:right w:w="22" w:type="dxa"/>
            </w:tcMar>
            <w:vAlign w:val="center"/>
          </w:tcPr>
          <w:p>
            <w:pPr>
              <w:keepNext w:val="0"/>
              <w:keepLines w:val="0"/>
              <w:widowControl/>
              <w:suppressLineNumbers w:val="0"/>
              <w:spacing w:before="0" w:beforeAutospacing="0" w:after="0" w:afterAutospacing="0" w:line="360" w:lineRule="auto"/>
              <w:ind w:left="0" w:right="0"/>
              <w:jc w:val="center"/>
              <w:rPr>
                <w:rFonts w:hint="eastAsia" w:ascii="宋体" w:hAnsi="宋体" w:eastAsia="宋体" w:cs="宋体"/>
                <w:b/>
                <w:bCs/>
                <w:color w:val="000000"/>
                <w:kern w:val="0"/>
                <w:sz w:val="21"/>
                <w:szCs w:val="21"/>
                <w:highlight w:val="none"/>
                <w:lang w:eastAsia="en-US"/>
              </w:rPr>
            </w:pPr>
            <w:r>
              <w:rPr>
                <w:rFonts w:hint="eastAsia" w:ascii="宋体" w:hAnsi="宋体" w:eastAsia="宋体" w:cs="宋体"/>
                <w:b/>
                <w:bCs/>
                <w:color w:val="000000"/>
                <w:kern w:val="0"/>
                <w:sz w:val="21"/>
                <w:szCs w:val="21"/>
                <w:highlight w:val="none"/>
                <w:lang w:eastAsia="en-US"/>
              </w:rPr>
              <w:t>证书名称</w:t>
            </w:r>
          </w:p>
        </w:tc>
        <w:tc>
          <w:tcPr>
            <w:tcW w:w="3087" w:type="pct"/>
            <w:tcBorders>
              <w:top w:val="single" w:color="000000" w:sz="6" w:space="0"/>
              <w:left w:val="single" w:color="000000" w:sz="6" w:space="0"/>
              <w:bottom w:val="single" w:color="000000" w:sz="6" w:space="0"/>
              <w:right w:val="single" w:color="000000" w:sz="6" w:space="0"/>
            </w:tcBorders>
            <w:shd w:val="clear" w:color="auto" w:fill="D3D3D3"/>
            <w:tcMar>
              <w:top w:w="22" w:type="dxa"/>
              <w:left w:w="22" w:type="dxa"/>
              <w:bottom w:w="22" w:type="dxa"/>
              <w:right w:w="22" w:type="dxa"/>
            </w:tcMar>
            <w:vAlign w:val="center"/>
          </w:tcPr>
          <w:p>
            <w:pPr>
              <w:keepNext w:val="0"/>
              <w:keepLines w:val="0"/>
              <w:widowControl/>
              <w:suppressLineNumbers w:val="0"/>
              <w:spacing w:before="0" w:beforeAutospacing="0" w:after="0" w:afterAutospacing="0" w:line="360" w:lineRule="auto"/>
              <w:ind w:left="0" w:right="0"/>
              <w:jc w:val="center"/>
              <w:rPr>
                <w:rFonts w:hint="eastAsia" w:ascii="宋体" w:hAnsi="宋体" w:eastAsia="宋体" w:cs="宋体"/>
                <w:b/>
                <w:bCs/>
                <w:color w:val="000000"/>
                <w:kern w:val="0"/>
                <w:sz w:val="21"/>
                <w:szCs w:val="21"/>
                <w:highlight w:val="none"/>
                <w:lang w:eastAsia="zh-CN"/>
              </w:rPr>
            </w:pPr>
            <w:r>
              <w:rPr>
                <w:rFonts w:hint="eastAsia" w:ascii="宋体" w:hAnsi="宋体" w:eastAsia="宋体" w:cs="宋体"/>
                <w:b/>
                <w:bCs/>
                <w:color w:val="000000"/>
                <w:kern w:val="0"/>
                <w:sz w:val="21"/>
                <w:szCs w:val="21"/>
                <w:highlight w:val="none"/>
                <w:lang w:eastAsia="zh-CN"/>
              </w:rPr>
              <w:t>备注</w:t>
            </w:r>
          </w:p>
        </w:tc>
      </w:tr>
      <w:tr>
        <w:tblPrEx>
          <w:tblCellMar>
            <w:top w:w="15" w:type="dxa"/>
            <w:left w:w="15" w:type="dxa"/>
            <w:bottom w:w="15" w:type="dxa"/>
            <w:right w:w="15" w:type="dxa"/>
          </w:tblCellMar>
        </w:tblPrEx>
        <w:trPr>
          <w:jc w:val="center"/>
        </w:trPr>
        <w:tc>
          <w:tcPr>
            <w:tcW w:w="492" w:type="pct"/>
            <w:tcBorders>
              <w:top w:val="single" w:color="000000" w:sz="6" w:space="0"/>
              <w:left w:val="single" w:color="000000" w:sz="6" w:space="0"/>
              <w:bottom w:val="single" w:color="000000" w:sz="6" w:space="0"/>
              <w:right w:val="single" w:color="000000" w:sz="6" w:space="0"/>
            </w:tcBorders>
            <w:tcMar>
              <w:top w:w="22" w:type="dxa"/>
              <w:left w:w="22" w:type="dxa"/>
              <w:bottom w:w="22" w:type="dxa"/>
              <w:right w:w="22" w:type="dxa"/>
            </w:tcMar>
            <w:vAlign w:val="center"/>
          </w:tcPr>
          <w:p>
            <w:pPr>
              <w:keepNext w:val="0"/>
              <w:keepLines w:val="0"/>
              <w:widowControl/>
              <w:suppressLineNumbers w:val="0"/>
              <w:spacing w:before="0" w:beforeLines="0" w:beforeAutospacing="0" w:after="0" w:afterLines="0" w:afterAutospacing="0" w:line="360" w:lineRule="auto"/>
              <w:ind w:left="0" w:right="0"/>
              <w:jc w:val="center"/>
              <w:rPr>
                <w:rFonts w:hint="eastAsia" w:ascii="宋体" w:hAnsi="宋体" w:eastAsia="宋体" w:cs="宋体"/>
                <w:color w:val="000000"/>
                <w:kern w:val="0"/>
                <w:sz w:val="21"/>
                <w:szCs w:val="21"/>
                <w:highlight w:val="none"/>
                <w:lang w:eastAsia="en-US"/>
              </w:rPr>
            </w:pPr>
            <w:commentRangeStart w:id="0"/>
            <w:r>
              <w:rPr>
                <w:rFonts w:hint="eastAsia" w:ascii="宋体" w:hAnsi="宋体" w:eastAsia="宋体" w:cs="宋体"/>
                <w:color w:val="000000"/>
                <w:kern w:val="0"/>
                <w:sz w:val="21"/>
                <w:szCs w:val="21"/>
                <w:highlight w:val="none"/>
                <w:lang w:eastAsia="en-US"/>
              </w:rPr>
              <w:t>1</w:t>
            </w:r>
          </w:p>
        </w:tc>
        <w:tc>
          <w:tcPr>
            <w:tcW w:w="1419" w:type="pct"/>
            <w:tcBorders>
              <w:top w:val="single" w:color="000000" w:sz="6" w:space="0"/>
              <w:left w:val="single" w:color="000000" w:sz="6" w:space="0"/>
              <w:bottom w:val="single" w:color="000000" w:sz="6" w:space="0"/>
              <w:right w:val="single" w:color="000000" w:sz="6" w:space="0"/>
            </w:tcBorders>
            <w:tcMar>
              <w:top w:w="22" w:type="dxa"/>
              <w:left w:w="22" w:type="dxa"/>
              <w:bottom w:w="22" w:type="dxa"/>
              <w:right w:w="22" w:type="dxa"/>
            </w:tcMar>
            <w:vAlign w:val="center"/>
          </w:tcPr>
          <w:p>
            <w:pPr>
              <w:keepNext w:val="0"/>
              <w:keepLines w:val="0"/>
              <w:widowControl/>
              <w:suppressLineNumbers w:val="0"/>
              <w:spacing w:before="0" w:beforeLines="0" w:beforeAutospacing="0" w:after="0" w:afterLines="0" w:afterAutospacing="0" w:line="360" w:lineRule="auto"/>
              <w:ind w:left="0" w:right="0"/>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质量管理体系认证证书</w:t>
            </w:r>
          </w:p>
        </w:tc>
        <w:tc>
          <w:tcPr>
            <w:tcW w:w="3087" w:type="pct"/>
            <w:tcBorders>
              <w:top w:val="single" w:color="000000" w:sz="6" w:space="0"/>
              <w:left w:val="single" w:color="000000" w:sz="6" w:space="0"/>
              <w:bottom w:val="single" w:color="000000" w:sz="6" w:space="0"/>
              <w:right w:val="single" w:color="000000" w:sz="6" w:space="0"/>
            </w:tcBorders>
            <w:tcMar>
              <w:top w:w="22" w:type="dxa"/>
              <w:left w:w="22" w:type="dxa"/>
              <w:bottom w:w="22" w:type="dxa"/>
              <w:right w:w="22"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80" w:lineRule="exact"/>
              <w:ind w:left="0" w:right="0"/>
              <w:jc w:val="distribute"/>
              <w:textAlignment w:val="auto"/>
              <w:rPr>
                <w:rFonts w:hint="default" w:ascii="宋体" w:hAnsi="宋体" w:eastAsia="宋体" w:cs="宋体"/>
                <w:color w:val="000000"/>
                <w:kern w:val="0"/>
                <w:sz w:val="21"/>
                <w:szCs w:val="21"/>
                <w:highlight w:val="none"/>
                <w:lang w:val="en-US" w:eastAsia="zh-CN"/>
              </w:rPr>
            </w:pPr>
            <w:r>
              <w:rPr>
                <w:rFonts w:hint="eastAsia" w:ascii="宋体" w:hAnsi="宋体" w:eastAsia="宋体" w:cs="宋体"/>
                <w:color w:val="000000"/>
                <w:sz w:val="21"/>
                <w:szCs w:val="21"/>
                <w:highlight w:val="none"/>
              </w:rPr>
              <w:t>提供有效的质量管理体系认证证书</w:t>
            </w:r>
            <w:r>
              <w:rPr>
                <w:rFonts w:hint="eastAsia" w:ascii="宋体" w:hAnsi="宋体" w:eastAsia="宋体" w:cs="宋体"/>
                <w:color w:val="000000"/>
                <w:kern w:val="0"/>
                <w:sz w:val="21"/>
                <w:szCs w:val="21"/>
                <w:highlight w:val="none"/>
                <w:lang w:eastAsia="zh-CN"/>
              </w:rPr>
              <w:t>（提供原件扫描件及加盖公章复印件、国家市场监督管理总局官网（全国认证认可信息公开服务平台）-认证结果（http://cx.cnca.cn/CertECloud/result/skipResultList))</w:t>
            </w:r>
            <w:commentRangeEnd w:id="0"/>
            <w:r>
              <w:rPr>
                <w:rFonts w:hint="default"/>
              </w:rPr>
              <w:commentReference w:id="0"/>
            </w:r>
          </w:p>
        </w:tc>
      </w:tr>
    </w:tbl>
    <w:p>
      <w:pPr>
        <w:widowControl/>
        <w:spacing w:line="360" w:lineRule="auto"/>
        <w:jc w:val="left"/>
        <w:outlineLvl w:val="2"/>
        <w:rPr>
          <w:rFonts w:hint="eastAsia" w:ascii="宋体" w:hAnsi="宋体" w:eastAsia="宋体" w:cs="宋体"/>
          <w:b/>
          <w:bCs/>
          <w:kern w:val="0"/>
          <w:sz w:val="21"/>
          <w:szCs w:val="21"/>
          <w:lang w:eastAsia="en-US"/>
        </w:rPr>
      </w:pPr>
      <w:bookmarkStart w:id="69" w:name="_Toc13050"/>
      <w:bookmarkStart w:id="70" w:name="_Toc9914"/>
      <w:r>
        <w:rPr>
          <w:rFonts w:hint="eastAsia" w:ascii="宋体" w:hAnsi="宋体" w:eastAsia="宋体" w:cs="宋体"/>
          <w:b/>
          <w:bCs/>
          <w:kern w:val="0"/>
          <w:sz w:val="21"/>
          <w:szCs w:val="21"/>
          <w:lang w:eastAsia="en-US"/>
        </w:rPr>
        <w:t>2.1.2.2成功案例</w:t>
      </w:r>
      <w:bookmarkEnd w:id="69"/>
      <w:bookmarkEnd w:id="70"/>
    </w:p>
    <w:p>
      <w:pPr>
        <w:widowControl/>
        <w:spacing w:line="360" w:lineRule="auto"/>
        <w:ind w:firstLine="420" w:firstLineChars="200"/>
        <w:jc w:val="both"/>
        <w:outlineLvl w:val="1"/>
        <w:rPr>
          <w:rFonts w:hint="eastAsia" w:ascii="宋体" w:hAnsi="宋体" w:eastAsia="宋体" w:cs="宋体"/>
          <w:kern w:val="0"/>
          <w:sz w:val="21"/>
          <w:szCs w:val="21"/>
        </w:rPr>
      </w:pPr>
      <w:bookmarkStart w:id="71" w:name="_Toc21481"/>
      <w:bookmarkStart w:id="72" w:name="_Toc31065"/>
      <w:r>
        <w:rPr>
          <w:rFonts w:hint="eastAsia" w:ascii="宋体" w:hAnsi="宋体" w:eastAsia="宋体" w:cs="宋体"/>
          <w:kern w:val="0"/>
          <w:sz w:val="21"/>
          <w:szCs w:val="21"/>
        </w:rPr>
        <w:t>提供2022年1月1日至今（以合同签订日期为准）有履约验收记录的类似本项目的案例。</w:t>
      </w:r>
    </w:p>
    <w:bookmarkEnd w:id="71"/>
    <w:bookmarkEnd w:id="72"/>
    <w:p>
      <w:pPr>
        <w:widowControl/>
        <w:spacing w:line="360" w:lineRule="auto"/>
        <w:ind w:firstLine="0" w:firstLineChars="0"/>
        <w:jc w:val="left"/>
        <w:outlineLvl w:val="1"/>
        <w:rPr>
          <w:rFonts w:hint="eastAsia" w:ascii="宋体" w:hAnsi="宋体" w:eastAsia="宋体" w:cs="宋体"/>
          <w:b/>
          <w:bCs/>
          <w:kern w:val="0"/>
          <w:sz w:val="21"/>
          <w:szCs w:val="21"/>
          <w:lang w:eastAsia="en-US"/>
        </w:rPr>
      </w:pPr>
      <w:bookmarkStart w:id="73" w:name="_Toc256000010"/>
      <w:bookmarkStart w:id="74" w:name="_Toc31468"/>
      <w:bookmarkStart w:id="75" w:name="_Toc1880"/>
      <w:r>
        <w:rPr>
          <w:rFonts w:hint="eastAsia" w:ascii="宋体" w:hAnsi="宋体" w:eastAsia="宋体" w:cs="宋体"/>
          <w:b/>
          <w:bCs/>
          <w:kern w:val="0"/>
          <w:sz w:val="21"/>
          <w:szCs w:val="21"/>
          <w:lang w:eastAsia="en-US"/>
        </w:rPr>
        <w:t>2.1.3是否允许联合体</w:t>
      </w:r>
      <w:bookmarkEnd w:id="73"/>
      <w:bookmarkEnd w:id="74"/>
      <w:bookmarkEnd w:id="75"/>
    </w:p>
    <w:p>
      <w:pPr>
        <w:widowControl/>
        <w:overflowPunct w:val="0"/>
        <w:autoSpaceDN w:val="0"/>
        <w:adjustRightInd w:val="0"/>
        <w:spacing w:line="360" w:lineRule="auto"/>
        <w:ind w:firstLine="420" w:firstLineChars="200"/>
        <w:jc w:val="left"/>
        <w:textAlignment w:val="baseline"/>
        <w:rPr>
          <w:rFonts w:hint="eastAsia" w:ascii="宋体" w:hAnsi="宋体" w:eastAsia="宋体" w:cs="宋体"/>
          <w:sz w:val="21"/>
          <w:szCs w:val="21"/>
        </w:rPr>
      </w:pPr>
      <w:r>
        <w:rPr>
          <w:rFonts w:hint="eastAsia" w:ascii="宋体" w:hAnsi="宋体" w:eastAsia="宋体" w:cs="宋体"/>
          <w:kern w:val="0"/>
          <w:sz w:val="21"/>
          <w:szCs w:val="21"/>
        </w:rPr>
        <w:t>本项目不接受联合体，不容许分包或转包。</w:t>
      </w:r>
    </w:p>
    <w:p>
      <w:pPr>
        <w:widowControl/>
        <w:spacing w:line="360" w:lineRule="auto"/>
        <w:jc w:val="left"/>
        <w:outlineLvl w:val="1"/>
        <w:rPr>
          <w:rFonts w:hint="eastAsia" w:ascii="宋体" w:hAnsi="宋体" w:eastAsia="宋体" w:cs="宋体"/>
          <w:b/>
          <w:bCs/>
          <w:kern w:val="0"/>
          <w:sz w:val="21"/>
          <w:szCs w:val="21"/>
          <w:lang w:eastAsia="en-US"/>
        </w:rPr>
      </w:pPr>
      <w:bookmarkStart w:id="76" w:name="_Toc570"/>
      <w:bookmarkStart w:id="77" w:name="_Toc23071"/>
      <w:bookmarkStart w:id="78" w:name="_Toc256000011"/>
      <w:r>
        <w:rPr>
          <w:rFonts w:hint="eastAsia" w:ascii="宋体" w:hAnsi="宋体" w:eastAsia="宋体" w:cs="宋体"/>
          <w:b/>
          <w:bCs/>
          <w:kern w:val="0"/>
          <w:sz w:val="21"/>
          <w:szCs w:val="21"/>
          <w:lang w:eastAsia="en-US"/>
        </w:rPr>
        <w:t>2.1.4是否专门面向中小企业</w:t>
      </w:r>
      <w:bookmarkEnd w:id="76"/>
      <w:bookmarkEnd w:id="77"/>
      <w:bookmarkEnd w:id="78"/>
    </w:p>
    <w:p>
      <w:pPr>
        <w:widowControl/>
        <w:spacing w:line="360" w:lineRule="auto"/>
        <w:ind w:firstLine="420" w:firstLineChars="200"/>
        <w:jc w:val="both"/>
        <w:outlineLvl w:val="1"/>
        <w:rPr>
          <w:rFonts w:hint="eastAsia" w:ascii="宋体" w:hAnsi="宋体" w:eastAsia="宋体" w:cs="宋体"/>
          <w:kern w:val="0"/>
          <w:sz w:val="21"/>
          <w:szCs w:val="21"/>
        </w:rPr>
      </w:pPr>
      <w:bookmarkStart w:id="79" w:name="_Toc16292"/>
      <w:bookmarkStart w:id="80" w:name="_Toc10940"/>
      <w:r>
        <w:rPr>
          <w:rFonts w:hint="eastAsia" w:ascii="宋体" w:hAnsi="宋体" w:eastAsia="宋体" w:cs="宋体"/>
          <w:kern w:val="0"/>
          <w:sz w:val="21"/>
          <w:szCs w:val="21"/>
        </w:rPr>
        <w:t>本项目专门面向中小企业采购项目。</w:t>
      </w:r>
      <w:bookmarkEnd w:id="79"/>
      <w:bookmarkEnd w:id="80"/>
    </w:p>
    <w:p>
      <w:pPr>
        <w:widowControl/>
        <w:spacing w:line="360" w:lineRule="auto"/>
        <w:jc w:val="left"/>
        <w:outlineLvl w:val="1"/>
        <w:rPr>
          <w:rFonts w:hint="eastAsia" w:ascii="宋体" w:hAnsi="宋体" w:eastAsia="宋体" w:cs="宋体"/>
          <w:b/>
          <w:bCs/>
          <w:kern w:val="0"/>
          <w:sz w:val="21"/>
          <w:szCs w:val="21"/>
          <w:lang w:eastAsia="en-US"/>
        </w:rPr>
      </w:pPr>
      <w:bookmarkStart w:id="81" w:name="_Toc256000012"/>
      <w:bookmarkStart w:id="82" w:name="_Toc26401"/>
      <w:bookmarkStart w:id="83" w:name="_Toc28020"/>
      <w:r>
        <w:rPr>
          <w:rFonts w:hint="eastAsia" w:ascii="宋体" w:hAnsi="宋体" w:eastAsia="宋体" w:cs="宋体"/>
          <w:b/>
          <w:bCs/>
          <w:kern w:val="0"/>
          <w:sz w:val="21"/>
          <w:szCs w:val="21"/>
          <w:lang w:eastAsia="en-US"/>
        </w:rPr>
        <w:t>2.1.5其他要求</w:t>
      </w:r>
      <w:bookmarkEnd w:id="81"/>
      <w:bookmarkEnd w:id="82"/>
      <w:bookmarkEnd w:id="83"/>
    </w:p>
    <w:p>
      <w:pPr>
        <w:widowControl/>
        <w:spacing w:line="360" w:lineRule="auto"/>
        <w:ind w:firstLine="420" w:firstLineChars="200"/>
        <w:jc w:val="both"/>
        <w:outlineLvl w:val="1"/>
        <w:rPr>
          <w:rFonts w:hint="eastAsia" w:ascii="宋体" w:hAnsi="宋体" w:eastAsia="宋体" w:cs="宋体"/>
          <w:kern w:val="0"/>
          <w:sz w:val="21"/>
          <w:szCs w:val="21"/>
        </w:rPr>
      </w:pPr>
      <w:bookmarkStart w:id="84" w:name="_Toc18963"/>
      <w:bookmarkStart w:id="85" w:name="_Toc21420"/>
      <w:r>
        <w:rPr>
          <w:rFonts w:hint="eastAsia" w:ascii="宋体" w:hAnsi="宋体" w:eastAsia="宋体" w:cs="宋体"/>
          <w:kern w:val="0"/>
          <w:sz w:val="21"/>
          <w:szCs w:val="21"/>
        </w:rPr>
        <w:t>1.本项目的特定资格要求：无。</w:t>
      </w:r>
    </w:p>
    <w:p>
      <w:pPr>
        <w:widowControl/>
        <w:spacing w:line="360" w:lineRule="auto"/>
        <w:ind w:firstLine="420" w:firstLineChars="200"/>
        <w:jc w:val="both"/>
        <w:outlineLvl w:val="1"/>
        <w:rPr>
          <w:rFonts w:hint="eastAsia" w:ascii="宋体" w:hAnsi="宋体" w:eastAsia="宋体" w:cs="宋体"/>
          <w:kern w:val="0"/>
          <w:sz w:val="21"/>
          <w:szCs w:val="21"/>
        </w:rPr>
      </w:pPr>
      <w:r>
        <w:rPr>
          <w:rFonts w:hint="eastAsia" w:ascii="宋体" w:hAnsi="宋体" w:eastAsia="宋体" w:cs="宋体"/>
          <w:kern w:val="0"/>
          <w:sz w:val="21"/>
          <w:szCs w:val="21"/>
        </w:rPr>
        <w:t>2.落实政府采购政策需满足的资格要求：本项目为专门面向中小企业采购项目，监狱企业、残疾人福利性单位视同小型、微型企业，享受促进中小企业发展政策优惠。</w:t>
      </w:r>
      <w:bookmarkEnd w:id="84"/>
      <w:bookmarkEnd w:id="85"/>
    </w:p>
    <w:p>
      <w:pPr>
        <w:widowControl/>
        <w:spacing w:line="360" w:lineRule="auto"/>
        <w:ind w:firstLine="420" w:firstLineChars="200"/>
        <w:jc w:val="both"/>
        <w:outlineLvl w:val="1"/>
        <w:rPr>
          <w:rFonts w:hint="eastAsia" w:ascii="宋体" w:hAnsi="宋体" w:eastAsia="宋体" w:cs="宋体"/>
          <w:kern w:val="0"/>
          <w:sz w:val="21"/>
          <w:szCs w:val="21"/>
          <w:lang w:eastAsia="en-US"/>
        </w:rPr>
      </w:pPr>
      <w:bookmarkStart w:id="86" w:name="_Toc16018"/>
      <w:bookmarkStart w:id="87" w:name="_Toc7803"/>
      <w:r>
        <w:rPr>
          <w:rFonts w:hint="eastAsia" w:ascii="宋体" w:hAnsi="宋体" w:eastAsia="宋体" w:cs="宋体"/>
          <w:kern w:val="0"/>
          <w:sz w:val="21"/>
          <w:szCs w:val="21"/>
          <w:lang w:eastAsia="en-US"/>
        </w:rPr>
        <w:t>注：截至开标当日评审之前，经“信用中国”网站（www.creditchina.gov.cn）、“中国政府采购网”网站（www.ccgp.gov.cn）查询，被列入失信被执行人、重大税收违法案件当事人名单、政府采购严重违法失信行为记录名单的不得参加本采购项目。</w:t>
      </w:r>
      <w:bookmarkEnd w:id="86"/>
      <w:bookmarkEnd w:id="87"/>
    </w:p>
    <w:p>
      <w:pPr>
        <w:widowControl/>
        <w:spacing w:line="360" w:lineRule="auto"/>
        <w:jc w:val="left"/>
        <w:outlineLvl w:val="0"/>
        <w:rPr>
          <w:rFonts w:hint="eastAsia" w:ascii="宋体" w:hAnsi="宋体" w:eastAsia="宋体" w:cs="宋体"/>
          <w:b/>
          <w:bCs/>
          <w:kern w:val="0"/>
          <w:sz w:val="21"/>
          <w:szCs w:val="21"/>
        </w:rPr>
      </w:pPr>
      <w:bookmarkStart w:id="88" w:name="_Toc8297"/>
      <w:bookmarkStart w:id="89" w:name="_Toc256000013"/>
      <w:bookmarkStart w:id="90" w:name="_Toc6126"/>
      <w:r>
        <w:rPr>
          <w:rFonts w:hint="eastAsia" w:ascii="宋体" w:hAnsi="宋体" w:eastAsia="宋体" w:cs="宋体"/>
          <w:b/>
          <w:bCs/>
          <w:kern w:val="0"/>
          <w:sz w:val="21"/>
          <w:szCs w:val="21"/>
        </w:rPr>
        <w:t>2.2技术部分投标/响应内容</w:t>
      </w:r>
      <w:bookmarkEnd w:id="88"/>
      <w:bookmarkEnd w:id="89"/>
      <w:bookmarkEnd w:id="90"/>
    </w:p>
    <w:p>
      <w:pPr>
        <w:widowControl/>
        <w:spacing w:line="360" w:lineRule="auto"/>
        <w:jc w:val="left"/>
        <w:outlineLvl w:val="1"/>
        <w:rPr>
          <w:rFonts w:hint="eastAsia" w:ascii="宋体" w:hAnsi="宋体" w:eastAsia="宋体" w:cs="宋体"/>
          <w:b/>
          <w:bCs/>
          <w:kern w:val="0"/>
          <w:sz w:val="21"/>
          <w:szCs w:val="21"/>
          <w:lang w:eastAsia="en-US"/>
        </w:rPr>
      </w:pPr>
      <w:bookmarkStart w:id="91" w:name="_Toc30842"/>
      <w:bookmarkStart w:id="92" w:name="_Toc9598"/>
      <w:r>
        <w:rPr>
          <w:rFonts w:hint="eastAsia" w:ascii="宋体" w:hAnsi="宋体" w:eastAsia="宋体" w:cs="宋体"/>
          <w:b/>
          <w:bCs/>
          <w:kern w:val="0"/>
          <w:sz w:val="21"/>
          <w:szCs w:val="21"/>
          <w:lang w:val="en-US" w:eastAsia="zh-CN"/>
        </w:rPr>
        <w:t>2.2.1</w:t>
      </w:r>
      <w:r>
        <w:rPr>
          <w:rFonts w:hint="eastAsia" w:ascii="宋体" w:hAnsi="宋体" w:eastAsia="宋体" w:cs="宋体"/>
          <w:b/>
          <w:bCs/>
          <w:kern w:val="0"/>
          <w:sz w:val="21"/>
          <w:szCs w:val="21"/>
          <w:lang w:eastAsia="en-US"/>
        </w:rPr>
        <w:t>技术投标/响应总要求</w:t>
      </w:r>
      <w:bookmarkEnd w:id="91"/>
      <w:bookmarkEnd w:id="92"/>
    </w:p>
    <w:p>
      <w:pPr>
        <w:widowControl/>
        <w:spacing w:line="360" w:lineRule="auto"/>
        <w:ind w:firstLine="420" w:firstLineChars="200"/>
        <w:jc w:val="both"/>
        <w:outlineLvl w:val="1"/>
        <w:rPr>
          <w:rFonts w:hint="eastAsia" w:ascii="宋体" w:hAnsi="宋体" w:eastAsia="宋体" w:cs="宋体"/>
          <w:kern w:val="0"/>
          <w:sz w:val="21"/>
          <w:szCs w:val="21"/>
        </w:rPr>
      </w:pPr>
      <w:bookmarkStart w:id="93" w:name="_Toc13653"/>
      <w:bookmarkStart w:id="94" w:name="_Toc2023"/>
      <w:r>
        <w:rPr>
          <w:rFonts w:hint="eastAsia" w:ascii="宋体" w:hAnsi="宋体" w:eastAsia="宋体" w:cs="宋体"/>
          <w:kern w:val="0"/>
          <w:sz w:val="21"/>
          <w:szCs w:val="21"/>
        </w:rPr>
        <w:t>符合国家有关法律规定，在中国境内（指关境内）注册。</w:t>
      </w:r>
      <w:bookmarkEnd w:id="93"/>
      <w:bookmarkEnd w:id="94"/>
    </w:p>
    <w:p>
      <w:pPr>
        <w:widowControl/>
        <w:spacing w:line="360" w:lineRule="auto"/>
        <w:jc w:val="left"/>
        <w:outlineLvl w:val="1"/>
        <w:rPr>
          <w:rFonts w:hint="eastAsia" w:ascii="宋体" w:hAnsi="宋体" w:eastAsia="宋体" w:cs="宋体"/>
          <w:b/>
          <w:bCs/>
          <w:kern w:val="0"/>
          <w:sz w:val="21"/>
          <w:szCs w:val="21"/>
          <w:lang w:eastAsia="en-US"/>
        </w:rPr>
      </w:pPr>
      <w:bookmarkStart w:id="95" w:name="_Toc256000014"/>
      <w:bookmarkStart w:id="96" w:name="_Toc3047"/>
      <w:bookmarkStart w:id="97" w:name="_Toc16177"/>
      <w:r>
        <w:rPr>
          <w:rFonts w:hint="eastAsia" w:ascii="宋体" w:hAnsi="宋体" w:eastAsia="宋体" w:cs="宋体"/>
          <w:b/>
          <w:bCs/>
          <w:kern w:val="0"/>
          <w:sz w:val="21"/>
          <w:szCs w:val="21"/>
          <w:lang w:eastAsia="en-US"/>
        </w:rPr>
        <w:t>2.2.</w:t>
      </w:r>
      <w:r>
        <w:rPr>
          <w:rFonts w:hint="eastAsia" w:ascii="宋体" w:hAnsi="宋体" w:eastAsia="宋体" w:cs="宋体"/>
          <w:b/>
          <w:bCs/>
          <w:kern w:val="0"/>
          <w:sz w:val="21"/>
          <w:szCs w:val="21"/>
          <w:lang w:val="en-US" w:eastAsia="zh-CN"/>
        </w:rPr>
        <w:t>2</w:t>
      </w:r>
      <w:bookmarkEnd w:id="95"/>
      <w:r>
        <w:rPr>
          <w:rFonts w:hint="eastAsia" w:ascii="宋体" w:hAnsi="宋体" w:eastAsia="宋体" w:cs="宋体"/>
          <w:b/>
          <w:bCs/>
          <w:kern w:val="0"/>
          <w:sz w:val="21"/>
          <w:szCs w:val="21"/>
          <w:lang w:eastAsia="en-US"/>
        </w:rPr>
        <w:t>投标/响应方案要求</w:t>
      </w:r>
      <w:bookmarkEnd w:id="96"/>
      <w:bookmarkEnd w:id="97"/>
    </w:p>
    <w:p>
      <w:pPr>
        <w:widowControl/>
        <w:spacing w:line="360" w:lineRule="auto"/>
        <w:ind w:firstLine="420" w:firstLineChars="200"/>
        <w:jc w:val="both"/>
        <w:outlineLvl w:val="1"/>
        <w:rPr>
          <w:rFonts w:hint="eastAsia" w:ascii="宋体" w:hAnsi="宋体" w:eastAsia="宋体" w:cs="宋体"/>
          <w:kern w:val="0"/>
          <w:sz w:val="21"/>
          <w:szCs w:val="21"/>
        </w:rPr>
      </w:pPr>
      <w:bookmarkStart w:id="98" w:name="_Toc9948"/>
      <w:bookmarkStart w:id="99" w:name="_Toc9046"/>
      <w:bookmarkStart w:id="100" w:name="_Toc256000015"/>
      <w:r>
        <w:rPr>
          <w:rFonts w:hint="eastAsia" w:ascii="宋体" w:hAnsi="宋体" w:eastAsia="宋体" w:cs="宋体"/>
          <w:kern w:val="0"/>
          <w:sz w:val="21"/>
          <w:szCs w:val="21"/>
        </w:rPr>
        <w:t>供应商应提供项目需求理解、服务方案、应急保障方案、管理实施方案、风险管控方案、验收响应方案。以下相关方案，若作为评审因素，应在满足★关键指标项要求的前提下，根据项目特点和采购需求，制定更为完整、详细、可操作性强的方案。</w:t>
      </w:r>
      <w:bookmarkEnd w:id="98"/>
      <w:bookmarkEnd w:id="99"/>
    </w:p>
    <w:p>
      <w:pPr>
        <w:widowControl/>
        <w:spacing w:line="360" w:lineRule="auto"/>
        <w:ind w:firstLine="420" w:firstLineChars="200"/>
        <w:jc w:val="both"/>
        <w:outlineLvl w:val="1"/>
        <w:rPr>
          <w:rFonts w:hint="eastAsia" w:ascii="宋体" w:hAnsi="宋体" w:eastAsia="宋体" w:cs="宋体"/>
          <w:kern w:val="0"/>
          <w:sz w:val="21"/>
          <w:szCs w:val="21"/>
        </w:rPr>
      </w:pPr>
      <w:bookmarkStart w:id="101" w:name="_Toc26827"/>
      <w:bookmarkStart w:id="102" w:name="_Toc10033"/>
      <w:r>
        <w:rPr>
          <w:rFonts w:hint="eastAsia" w:ascii="宋体" w:hAnsi="宋体" w:eastAsia="宋体" w:cs="宋体"/>
          <w:kern w:val="0"/>
          <w:sz w:val="21"/>
          <w:szCs w:val="21"/>
        </w:rPr>
        <w:t>1.项目需求理解</w:t>
      </w:r>
      <w:bookmarkEnd w:id="101"/>
      <w:bookmarkEnd w:id="102"/>
    </w:p>
    <w:p>
      <w:pPr>
        <w:widowControl/>
        <w:spacing w:line="360" w:lineRule="auto"/>
        <w:ind w:firstLine="420" w:firstLineChars="200"/>
        <w:jc w:val="both"/>
        <w:outlineLvl w:val="1"/>
        <w:rPr>
          <w:rFonts w:hint="eastAsia" w:ascii="宋体" w:hAnsi="宋体" w:eastAsia="宋体" w:cs="宋体"/>
          <w:kern w:val="0"/>
          <w:sz w:val="21"/>
          <w:szCs w:val="21"/>
        </w:rPr>
      </w:pPr>
      <w:bookmarkStart w:id="103" w:name="_Toc27399"/>
      <w:bookmarkStart w:id="104" w:name="_Toc21226"/>
      <w:r>
        <w:rPr>
          <w:rFonts w:hint="eastAsia" w:ascii="宋体" w:hAnsi="宋体" w:eastAsia="宋体" w:cs="宋体"/>
          <w:kern w:val="0"/>
          <w:sz w:val="21"/>
          <w:szCs w:val="21"/>
        </w:rPr>
        <w:t>供应商须充分理解项目采购内容，对项目概述、采购内容及要求等内容进行详细阐述和分析。</w:t>
      </w:r>
      <w:bookmarkEnd w:id="103"/>
      <w:bookmarkEnd w:id="104"/>
    </w:p>
    <w:p>
      <w:pPr>
        <w:widowControl/>
        <w:spacing w:line="360" w:lineRule="auto"/>
        <w:ind w:firstLine="420" w:firstLineChars="200"/>
        <w:jc w:val="both"/>
        <w:outlineLvl w:val="1"/>
        <w:rPr>
          <w:rFonts w:hint="eastAsia" w:ascii="宋体" w:hAnsi="宋体" w:eastAsia="宋体" w:cs="宋体"/>
          <w:kern w:val="0"/>
          <w:sz w:val="21"/>
          <w:szCs w:val="21"/>
        </w:rPr>
      </w:pPr>
      <w:bookmarkStart w:id="105" w:name="_Toc29831"/>
      <w:bookmarkStart w:id="106" w:name="_Toc26549"/>
      <w:r>
        <w:rPr>
          <w:rFonts w:hint="eastAsia" w:ascii="宋体" w:hAnsi="宋体" w:eastAsia="宋体" w:cs="宋体"/>
          <w:kern w:val="0"/>
          <w:sz w:val="21"/>
          <w:szCs w:val="21"/>
        </w:rPr>
        <w:t>2.服务方案</w:t>
      </w:r>
      <w:bookmarkEnd w:id="105"/>
      <w:bookmarkEnd w:id="106"/>
    </w:p>
    <w:p>
      <w:pPr>
        <w:widowControl/>
        <w:spacing w:line="360" w:lineRule="auto"/>
        <w:ind w:firstLine="420" w:firstLineChars="200"/>
        <w:jc w:val="both"/>
        <w:outlineLvl w:val="1"/>
        <w:rPr>
          <w:rFonts w:hint="eastAsia" w:ascii="宋体" w:hAnsi="宋体" w:eastAsia="宋体" w:cs="宋体"/>
          <w:kern w:val="0"/>
          <w:sz w:val="21"/>
          <w:szCs w:val="21"/>
        </w:rPr>
      </w:pPr>
      <w:bookmarkStart w:id="107" w:name="_Toc373"/>
      <w:bookmarkStart w:id="108" w:name="_Toc5392"/>
      <w:r>
        <w:rPr>
          <w:rFonts w:hint="eastAsia" w:ascii="宋体" w:hAnsi="宋体" w:eastAsia="宋体" w:cs="宋体"/>
          <w:kern w:val="0"/>
          <w:sz w:val="21"/>
          <w:szCs w:val="21"/>
        </w:rPr>
        <w:t>供应商应详细阐述项目服务方案，方案包括但不限于服务计划、服务方式、建立健全管理制度、服务关键点和难点及应对措施等工作内容。</w:t>
      </w:r>
      <w:bookmarkEnd w:id="107"/>
      <w:bookmarkEnd w:id="108"/>
    </w:p>
    <w:p>
      <w:pPr>
        <w:widowControl/>
        <w:spacing w:line="360" w:lineRule="auto"/>
        <w:ind w:firstLine="420" w:firstLineChars="200"/>
        <w:jc w:val="both"/>
        <w:outlineLvl w:val="1"/>
        <w:rPr>
          <w:rFonts w:hint="eastAsia" w:ascii="宋体" w:hAnsi="宋体" w:eastAsia="宋体" w:cs="宋体"/>
          <w:kern w:val="0"/>
          <w:sz w:val="21"/>
          <w:szCs w:val="21"/>
        </w:rPr>
      </w:pPr>
      <w:bookmarkStart w:id="109" w:name="_Toc4169"/>
      <w:bookmarkStart w:id="110" w:name="_Toc28415"/>
      <w:r>
        <w:rPr>
          <w:rFonts w:hint="eastAsia" w:ascii="宋体" w:hAnsi="宋体" w:eastAsia="宋体" w:cs="宋体"/>
          <w:kern w:val="0"/>
          <w:sz w:val="21"/>
          <w:szCs w:val="21"/>
        </w:rPr>
        <w:t>3.应急保障方案</w:t>
      </w:r>
      <w:bookmarkEnd w:id="109"/>
      <w:bookmarkEnd w:id="110"/>
    </w:p>
    <w:p>
      <w:pPr>
        <w:widowControl/>
        <w:spacing w:line="360" w:lineRule="auto"/>
        <w:ind w:firstLine="420" w:firstLineChars="200"/>
        <w:jc w:val="both"/>
        <w:outlineLvl w:val="1"/>
        <w:rPr>
          <w:rFonts w:hint="eastAsia" w:ascii="宋体" w:hAnsi="宋体" w:eastAsia="宋体" w:cs="宋体"/>
          <w:kern w:val="0"/>
          <w:sz w:val="21"/>
          <w:szCs w:val="21"/>
        </w:rPr>
      </w:pPr>
      <w:bookmarkStart w:id="111" w:name="_Toc5793"/>
      <w:bookmarkStart w:id="112" w:name="_Toc25122"/>
      <w:r>
        <w:rPr>
          <w:rFonts w:hint="eastAsia" w:ascii="宋体" w:hAnsi="宋体" w:eastAsia="宋体" w:cs="宋体"/>
          <w:kern w:val="0"/>
          <w:sz w:val="21"/>
          <w:szCs w:val="21"/>
        </w:rPr>
        <w:t>供应商应根据对项目的了解，制定应急预案。方案包括但不限于重大事件应急保障措施、应急处理流程、应急事件处理、应急演练和培训等工作内容。</w:t>
      </w:r>
      <w:bookmarkEnd w:id="111"/>
      <w:bookmarkEnd w:id="112"/>
    </w:p>
    <w:p>
      <w:pPr>
        <w:widowControl/>
        <w:spacing w:line="360" w:lineRule="auto"/>
        <w:ind w:firstLine="420" w:firstLineChars="200"/>
        <w:jc w:val="both"/>
        <w:outlineLvl w:val="1"/>
        <w:rPr>
          <w:rFonts w:hint="eastAsia" w:ascii="宋体" w:hAnsi="宋体" w:eastAsia="宋体" w:cs="宋体"/>
          <w:kern w:val="0"/>
          <w:sz w:val="21"/>
          <w:szCs w:val="21"/>
        </w:rPr>
      </w:pPr>
      <w:bookmarkStart w:id="113" w:name="_Toc11549"/>
      <w:bookmarkStart w:id="114" w:name="_Toc21511"/>
      <w:r>
        <w:rPr>
          <w:rFonts w:hint="eastAsia" w:ascii="宋体" w:hAnsi="宋体" w:eastAsia="宋体" w:cs="宋体"/>
          <w:kern w:val="0"/>
          <w:sz w:val="21"/>
          <w:szCs w:val="21"/>
        </w:rPr>
        <w:t>4.管理实施方案</w:t>
      </w:r>
      <w:bookmarkEnd w:id="113"/>
      <w:bookmarkEnd w:id="114"/>
    </w:p>
    <w:p>
      <w:pPr>
        <w:widowControl/>
        <w:spacing w:line="360" w:lineRule="auto"/>
        <w:ind w:firstLine="420" w:firstLineChars="200"/>
        <w:jc w:val="both"/>
        <w:outlineLvl w:val="1"/>
        <w:rPr>
          <w:rFonts w:hint="eastAsia" w:ascii="宋体" w:hAnsi="宋体" w:eastAsia="宋体" w:cs="宋体"/>
          <w:kern w:val="0"/>
          <w:sz w:val="21"/>
          <w:szCs w:val="21"/>
        </w:rPr>
      </w:pPr>
      <w:bookmarkStart w:id="115" w:name="_Toc30837"/>
      <w:bookmarkStart w:id="116" w:name="_Toc24764"/>
      <w:r>
        <w:rPr>
          <w:rFonts w:hint="eastAsia" w:ascii="宋体" w:hAnsi="宋体" w:eastAsia="宋体" w:cs="宋体"/>
          <w:kern w:val="0"/>
          <w:sz w:val="21"/>
          <w:szCs w:val="21"/>
        </w:rPr>
        <w:t>供应商应根据对项目的了解，制定实施方案。方案包括但不限于服务人员日常管理、遵守规章制度、调动人员积极性以及针对服务过程中存在问题及时与采购人协调、与其他人员进行配合等工作内容。</w:t>
      </w:r>
      <w:bookmarkEnd w:id="115"/>
      <w:bookmarkEnd w:id="116"/>
    </w:p>
    <w:p>
      <w:pPr>
        <w:widowControl/>
        <w:spacing w:line="360" w:lineRule="auto"/>
        <w:ind w:firstLine="420" w:firstLineChars="200"/>
        <w:jc w:val="both"/>
        <w:outlineLvl w:val="1"/>
        <w:rPr>
          <w:rFonts w:hint="eastAsia" w:ascii="宋体" w:hAnsi="宋体" w:eastAsia="宋体" w:cs="宋体"/>
          <w:kern w:val="0"/>
          <w:sz w:val="21"/>
          <w:szCs w:val="21"/>
        </w:rPr>
      </w:pPr>
      <w:bookmarkStart w:id="117" w:name="_Toc2400"/>
      <w:bookmarkStart w:id="118" w:name="_Toc1334"/>
      <w:r>
        <w:rPr>
          <w:rFonts w:hint="eastAsia" w:ascii="宋体" w:hAnsi="宋体" w:eastAsia="宋体" w:cs="宋体"/>
          <w:kern w:val="0"/>
          <w:sz w:val="21"/>
          <w:szCs w:val="21"/>
        </w:rPr>
        <w:t>5.风险管控方案</w:t>
      </w:r>
      <w:bookmarkEnd w:id="117"/>
      <w:bookmarkEnd w:id="118"/>
    </w:p>
    <w:p>
      <w:pPr>
        <w:widowControl/>
        <w:spacing w:line="360" w:lineRule="auto"/>
        <w:ind w:firstLine="420" w:firstLineChars="200"/>
        <w:jc w:val="both"/>
        <w:outlineLvl w:val="1"/>
        <w:rPr>
          <w:rFonts w:hint="eastAsia" w:ascii="宋体" w:hAnsi="宋体" w:eastAsia="宋体" w:cs="宋体"/>
          <w:kern w:val="0"/>
          <w:sz w:val="21"/>
          <w:szCs w:val="21"/>
        </w:rPr>
      </w:pPr>
      <w:bookmarkStart w:id="119" w:name="_Toc265"/>
      <w:bookmarkStart w:id="120" w:name="_Toc348"/>
      <w:r>
        <w:rPr>
          <w:rFonts w:hint="eastAsia" w:ascii="宋体" w:hAnsi="宋体" w:eastAsia="宋体" w:cs="宋体"/>
          <w:kern w:val="0"/>
          <w:sz w:val="21"/>
          <w:szCs w:val="21"/>
        </w:rPr>
        <w:t>供应商应根据对项目的了解，制定风险管控。方案包括但不限于对国家政策变化、实施环境变化、重大技术变化等情形的风险管控内容、应对措施、时间和形式等工作内容。</w:t>
      </w:r>
      <w:bookmarkEnd w:id="119"/>
      <w:bookmarkEnd w:id="120"/>
    </w:p>
    <w:p>
      <w:pPr>
        <w:widowControl/>
        <w:spacing w:line="360" w:lineRule="auto"/>
        <w:ind w:firstLine="420" w:firstLineChars="200"/>
        <w:jc w:val="both"/>
        <w:outlineLvl w:val="1"/>
        <w:rPr>
          <w:rFonts w:hint="eastAsia" w:ascii="宋体" w:hAnsi="宋体" w:eastAsia="宋体" w:cs="宋体"/>
          <w:kern w:val="0"/>
          <w:sz w:val="21"/>
          <w:szCs w:val="21"/>
        </w:rPr>
      </w:pPr>
      <w:bookmarkStart w:id="121" w:name="_Toc26905"/>
      <w:bookmarkStart w:id="122" w:name="_Toc7167"/>
      <w:r>
        <w:rPr>
          <w:rFonts w:hint="eastAsia" w:ascii="宋体" w:hAnsi="宋体" w:eastAsia="宋体" w:cs="宋体"/>
          <w:kern w:val="0"/>
          <w:sz w:val="21"/>
          <w:szCs w:val="21"/>
        </w:rPr>
        <w:t>6.履约验收方案</w:t>
      </w:r>
      <w:bookmarkEnd w:id="121"/>
      <w:bookmarkEnd w:id="122"/>
    </w:p>
    <w:p>
      <w:pPr>
        <w:widowControl/>
        <w:spacing w:line="360" w:lineRule="auto"/>
        <w:ind w:firstLine="420" w:firstLineChars="200"/>
        <w:jc w:val="both"/>
        <w:outlineLvl w:val="1"/>
        <w:rPr>
          <w:rFonts w:hint="eastAsia" w:ascii="宋体" w:hAnsi="宋体" w:eastAsia="宋体" w:cs="宋体"/>
          <w:kern w:val="0"/>
          <w:sz w:val="21"/>
          <w:szCs w:val="21"/>
          <w:highlight w:val="none"/>
        </w:rPr>
      </w:pPr>
      <w:bookmarkStart w:id="123" w:name="_Toc4739"/>
      <w:bookmarkStart w:id="124" w:name="_Toc444"/>
      <w:r>
        <w:rPr>
          <w:rFonts w:hint="eastAsia" w:ascii="宋体" w:hAnsi="宋体" w:eastAsia="宋体" w:cs="宋体"/>
          <w:kern w:val="0"/>
          <w:sz w:val="21"/>
          <w:szCs w:val="21"/>
          <w:highlight w:val="none"/>
        </w:rPr>
        <w:t>供应商应根据采购人对项目验收的要求，制定内容详细、可执行性高的项目验收响应方案。验收响应方案内容包括但不限于履约验收内容、流程、依据和标准等工作内容。</w:t>
      </w:r>
      <w:bookmarkEnd w:id="123"/>
      <w:bookmarkEnd w:id="124"/>
    </w:p>
    <w:p>
      <w:pPr>
        <w:spacing w:line="360" w:lineRule="auto"/>
        <w:jc w:val="center"/>
        <w:outlineLvl w:val="0"/>
        <w:rPr>
          <w:rFonts w:hint="eastAsia" w:ascii="宋体" w:hAnsi="宋体" w:eastAsia="宋体" w:cs="宋体"/>
          <w:b/>
          <w:bCs/>
          <w:kern w:val="36"/>
          <w:sz w:val="21"/>
          <w:szCs w:val="21"/>
        </w:rPr>
      </w:pPr>
      <w:bookmarkStart w:id="125" w:name="_Toc18132"/>
      <w:bookmarkStart w:id="126" w:name="_Toc17749"/>
      <w:r>
        <w:rPr>
          <w:rFonts w:hint="eastAsia" w:ascii="宋体" w:hAnsi="宋体" w:eastAsia="宋体" w:cs="宋体"/>
          <w:b/>
          <w:bCs/>
          <w:kern w:val="36"/>
          <w:sz w:val="21"/>
          <w:szCs w:val="21"/>
        </w:rPr>
        <w:t>3项目需求</w:t>
      </w:r>
      <w:bookmarkEnd w:id="100"/>
      <w:bookmarkEnd w:id="125"/>
      <w:bookmarkEnd w:id="126"/>
    </w:p>
    <w:p>
      <w:pPr>
        <w:widowControl/>
        <w:spacing w:line="360" w:lineRule="auto"/>
        <w:jc w:val="left"/>
        <w:outlineLvl w:val="0"/>
        <w:rPr>
          <w:rFonts w:hint="eastAsia" w:ascii="宋体" w:hAnsi="宋体" w:eastAsia="宋体" w:cs="宋体"/>
          <w:b/>
          <w:bCs/>
          <w:kern w:val="0"/>
          <w:sz w:val="21"/>
          <w:szCs w:val="21"/>
          <w:lang w:eastAsia="en-US"/>
        </w:rPr>
      </w:pPr>
      <w:bookmarkStart w:id="127" w:name="_Toc256000016"/>
      <w:bookmarkStart w:id="128" w:name="_Toc1556"/>
      <w:bookmarkStart w:id="129" w:name="_Toc27867"/>
      <w:r>
        <w:rPr>
          <w:rFonts w:hint="eastAsia" w:ascii="宋体" w:hAnsi="宋体" w:eastAsia="宋体" w:cs="宋体"/>
          <w:b/>
          <w:bCs/>
          <w:kern w:val="0"/>
          <w:sz w:val="21"/>
          <w:szCs w:val="21"/>
          <w:lang w:eastAsia="en-US"/>
        </w:rPr>
        <w:t>3.1总体要求</w:t>
      </w:r>
      <w:bookmarkEnd w:id="127"/>
      <w:bookmarkEnd w:id="128"/>
      <w:bookmarkEnd w:id="129"/>
    </w:p>
    <w:p>
      <w:pPr>
        <w:widowControl/>
        <w:spacing w:line="360" w:lineRule="auto"/>
        <w:ind w:firstLine="420" w:firstLineChars="200"/>
        <w:jc w:val="both"/>
        <w:outlineLvl w:val="1"/>
        <w:rPr>
          <w:rFonts w:hint="eastAsia" w:ascii="宋体" w:hAnsi="宋体" w:eastAsia="宋体" w:cs="宋体"/>
          <w:kern w:val="0"/>
          <w:sz w:val="21"/>
          <w:szCs w:val="21"/>
          <w:highlight w:val="none"/>
        </w:rPr>
      </w:pPr>
      <w:bookmarkStart w:id="130" w:name="_Toc3782"/>
      <w:bookmarkStart w:id="131" w:name="_Toc2158"/>
      <w:r>
        <w:rPr>
          <w:rFonts w:hint="eastAsia" w:ascii="宋体" w:hAnsi="宋体" w:eastAsia="宋体" w:cs="宋体"/>
          <w:kern w:val="0"/>
          <w:sz w:val="21"/>
          <w:szCs w:val="21"/>
          <w:highlight w:val="none"/>
          <w:lang w:val="en-US" w:eastAsia="zh-CN"/>
        </w:rPr>
        <w:t>国家税务总局大连市税务局第三税务分局采购非执法类辅助性纳税服务，项目内容为按照分局规章制度和岗位职责开展工作，协助分局在职干部为纳税人办理纳税咨询、征缴服务及其他相关工作，堵塞税收漏洞。服务工作主要内容为：</w:t>
      </w:r>
    </w:p>
    <w:p>
      <w:pPr>
        <w:widowControl/>
        <w:spacing w:before="0" w:line="360" w:lineRule="auto"/>
        <w:ind w:left="0" w:firstLine="420" w:firstLineChars="200"/>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（一）导税服务</w:t>
      </w:r>
    </w:p>
    <w:p>
      <w:pPr>
        <w:widowControl/>
        <w:spacing w:before="0" w:line="360" w:lineRule="auto"/>
        <w:ind w:left="0" w:right="0" w:firstLine="420" w:firstLineChars="200"/>
        <w:jc w:val="both"/>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主要引导纳税人缴费人在相关的服务区域或窗口办理税费事项；辅导纳税人填写资料；协助纳税人核对资料和表单填写的完整性；解答纳税人缴费人办理税费事项咨询；宣传税费法律法规政策；维护办税服务厅秩序，以及为纳税人缴费人提供准确、快捷的其他指引服务等，具体内容如下：</w:t>
      </w:r>
    </w:p>
    <w:p>
      <w:pPr>
        <w:widowControl/>
        <w:spacing w:line="360" w:lineRule="auto"/>
        <w:ind w:left="0" w:right="0" w:firstLine="420" w:firstLineChars="200"/>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1.引导服务：引导纳税人缴费人到相关服务区域或窗口办理税费事项，帮助其了解、熟悉办税流程，提供准确、快捷的指引，做到合理有效分流人员，减少排队等候时间。</w:t>
      </w:r>
    </w:p>
    <w:p>
      <w:pPr>
        <w:widowControl/>
        <w:spacing w:before="0" w:line="360" w:lineRule="auto"/>
        <w:ind w:left="0" w:right="0" w:firstLine="420" w:firstLineChars="200"/>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2.资料预检：在纳税人缴费人办理业务之前，对提供的资料进行初步检查，确保资料的完整性和正确性。</w:t>
      </w:r>
    </w:p>
    <w:p>
      <w:pPr>
        <w:widowControl/>
        <w:spacing w:before="0" w:line="360" w:lineRule="auto"/>
        <w:ind w:left="0" w:firstLine="420" w:firstLineChars="200"/>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3.秩序维护：维护办税服务点的秩序，确保纳税人缴费人有序办理税费业务。</w:t>
      </w:r>
    </w:p>
    <w:p>
      <w:pPr>
        <w:widowControl/>
        <w:spacing w:before="0" w:line="360" w:lineRule="auto"/>
        <w:ind w:left="0" w:right="0" w:firstLine="420" w:firstLineChars="200"/>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4.问题记录、跟踪：对导税、咨询过程中发现的问题进行记录，对需回复的事项进行记录并跟踪，记录当天服务过程中发现的问题和需要跟踪服务的事项，并提交对应的业务小组负责人。</w:t>
      </w:r>
    </w:p>
    <w:p>
      <w:pPr>
        <w:widowControl/>
        <w:spacing w:before="0" w:line="360" w:lineRule="auto"/>
        <w:ind w:left="0" w:firstLine="420" w:firstLineChars="200"/>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（二）税费辅导服务</w:t>
      </w:r>
    </w:p>
    <w:p>
      <w:pPr>
        <w:widowControl/>
        <w:spacing w:line="360" w:lineRule="auto"/>
        <w:ind w:firstLine="420" w:firstLineChars="200"/>
        <w:jc w:val="both"/>
        <w:outlineLvl w:val="1"/>
        <w:rPr>
          <w:rFonts w:hint="eastAsia" w:ascii="宋体" w:hAnsi="宋体" w:eastAsia="宋体" w:cs="宋体"/>
          <w:kern w:val="0"/>
          <w:sz w:val="21"/>
          <w:szCs w:val="21"/>
          <w:highlight w:val="none"/>
        </w:rPr>
      </w:pPr>
      <w:r>
        <w:rPr>
          <w:rFonts w:hint="eastAsia" w:ascii="宋体" w:hAnsi="宋体" w:eastAsia="宋体" w:cs="宋体"/>
          <w:kern w:val="0"/>
          <w:sz w:val="21"/>
          <w:szCs w:val="21"/>
          <w:highlight w:val="none"/>
        </w:rPr>
        <w:t>协助分局在职干部对大连市内四区土地、房屋交易所涉及的税收管理工作，包括受理税收业务信息、收缴税款并开具完税证明等。辅导纳税人缴费人进行相关表单的正确填写；引导纳税人缴费人使用电子税务局、自助办税终端等进行信息确认、综合事项报告、税费缴纳等辅导服务；辅导纳税人缴费人进行税费申报、发票领用、发票代开、三方协议签订等相关业务；提高纳税人缴费人的网上办事意识。辅导纳税人（缴费人）通过电子税务局、自助办税终端等渠道办理税费事项。</w:t>
      </w:r>
    </w:p>
    <w:p>
      <w:pPr>
        <w:widowControl/>
        <w:spacing w:before="0" w:line="360" w:lineRule="auto"/>
        <w:ind w:left="0" w:right="0" w:firstLine="420" w:firstLineChars="200"/>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具体内容如下：</w:t>
      </w:r>
    </w:p>
    <w:p>
      <w:pPr>
        <w:widowControl/>
        <w:spacing w:before="0" w:line="360" w:lineRule="auto"/>
        <w:ind w:left="0" w:firstLine="420" w:firstLineChars="200"/>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1.设备管理：负责自助服务区设备的日常管理。</w:t>
      </w:r>
    </w:p>
    <w:p>
      <w:pPr>
        <w:widowControl/>
        <w:spacing w:before="0" w:line="360" w:lineRule="auto"/>
        <w:ind w:left="0" w:right="0" w:firstLine="420" w:firstLineChars="200"/>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2.咨询辅导：帮助纳税人缴费人了解、熟悉税费办理流程，辅导纳税人缴费人正确填写相关表格和涉税资料，提供相关的政策咨询以及解答一些较为复杂的办税疑难问题等。</w:t>
      </w:r>
    </w:p>
    <w:p>
      <w:pPr>
        <w:widowControl/>
        <w:spacing w:before="0" w:line="360" w:lineRule="auto"/>
        <w:ind w:left="0" w:right="0" w:firstLine="420" w:firstLineChars="200"/>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3.政策宣传：向纳税人缴费人进行政策宣传并发放最新税费宣传资料，确保纳税人缴费人能够及时了解到最新的税费政策，帮助纳税人缴费人顺利完成相关业务。</w:t>
      </w:r>
    </w:p>
    <w:p>
      <w:pPr>
        <w:widowControl/>
        <w:spacing w:before="0" w:line="360" w:lineRule="auto"/>
        <w:ind w:left="0" w:right="0" w:firstLine="420" w:firstLineChars="200"/>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4. 自助办税辅导：辅导纳税人缴费人在全国统一规范电子税务局网页端、电子税务局</w:t>
      </w:r>
      <w:r>
        <w:rPr>
          <w:rFonts w:hint="eastAsia" w:ascii="宋体" w:hAnsi="宋体" w:eastAsia="宋体" w:cs="宋体"/>
          <w:kern w:val="0"/>
          <w:sz w:val="21"/>
          <w:szCs w:val="21"/>
          <w:highlight w:val="none"/>
        </w:rPr>
        <w:t>APP</w:t>
      </w:r>
      <w:r>
        <w:rPr>
          <w:rFonts w:hint="eastAsia" w:ascii="宋体" w:hAnsi="宋体" w:eastAsia="宋体" w:cs="宋体"/>
          <w:spacing w:val="0"/>
          <w:kern w:val="0"/>
          <w:sz w:val="21"/>
          <w:szCs w:val="21"/>
          <w:highlight w:val="none"/>
        </w:rPr>
        <w:t xml:space="preserve">、 自然人电子税务局扣缴端、个人所得税 </w:t>
      </w:r>
      <w:r>
        <w:rPr>
          <w:rFonts w:hint="eastAsia" w:ascii="宋体" w:hAnsi="宋体" w:eastAsia="宋体" w:cs="宋体"/>
          <w:kern w:val="0"/>
          <w:sz w:val="21"/>
          <w:szCs w:val="21"/>
          <w:highlight w:val="none"/>
        </w:rPr>
        <w:t>APP</w:t>
      </w:r>
      <w:r>
        <w:rPr>
          <w:rFonts w:hint="eastAsia" w:ascii="宋体" w:hAnsi="宋体" w:eastAsia="宋体" w:cs="宋体"/>
          <w:spacing w:val="0"/>
          <w:kern w:val="0"/>
          <w:sz w:val="21"/>
          <w:szCs w:val="21"/>
          <w:highlight w:val="none"/>
        </w:rPr>
        <w:t>、社保缴费小程序、社保费管理客户端等办理相关业务。</w:t>
      </w:r>
    </w:p>
    <w:p>
      <w:pPr>
        <w:widowControl/>
        <w:spacing w:before="0" w:line="360" w:lineRule="auto"/>
        <w:ind w:left="0" w:leftChars="0" w:firstLine="420" w:firstLineChars="200"/>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5.问题收集并反馈：收集纳税人缴费人高频咨询辅导的问题并向大厅负责人进行反</w:t>
      </w:r>
      <w:r>
        <w:rPr>
          <w:rFonts w:hint="eastAsia" w:ascii="宋体" w:hAnsi="宋体" w:eastAsia="宋体" w:cs="宋体"/>
          <w:kern w:val="0"/>
          <w:sz w:val="21"/>
          <w:szCs w:val="21"/>
          <w:highlight w:val="none"/>
        </w:rPr>
        <w:t>馈</w:t>
      </w:r>
      <w:r>
        <w:rPr>
          <w:rFonts w:hint="eastAsia" w:ascii="宋体" w:hAnsi="宋体" w:eastAsia="宋体" w:cs="宋体"/>
          <w:spacing w:val="0"/>
          <w:kern w:val="0"/>
          <w:sz w:val="21"/>
          <w:szCs w:val="21"/>
          <w:highlight w:val="none"/>
        </w:rPr>
        <w:t>（三）热线咨询服务</w:t>
      </w:r>
    </w:p>
    <w:p>
      <w:pPr>
        <w:widowControl/>
        <w:spacing w:before="0" w:line="360" w:lineRule="auto"/>
        <w:ind w:left="0" w:right="0" w:firstLine="420" w:firstLineChars="200"/>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主要负责接听 12366 咨询服务热线，为纳税人缴费人提供税费咨询服务、办税指南服务，同时记录并转办纳税服务投诉、涉税违法举报等，具体内容如下：</w:t>
      </w:r>
    </w:p>
    <w:p>
      <w:pPr>
        <w:widowControl/>
        <w:spacing w:before="0" w:line="360" w:lineRule="auto"/>
        <w:ind w:left="0" w:right="0" w:firstLine="420" w:firstLineChars="200"/>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1.税费咨询服务：为纳税人缴费人提供国家税收法律法规、规章及规范性文件等方面的咨询；解答纳税人缴费人关于税务登记、税费申报、税费缴纳、发票管理等问题。</w:t>
      </w:r>
    </w:p>
    <w:p>
      <w:pPr>
        <w:widowControl/>
        <w:spacing w:before="0" w:line="360" w:lineRule="auto"/>
        <w:ind w:left="0" w:right="0" w:firstLine="420" w:firstLineChars="200"/>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 xml:space="preserve">2.办税指南服务：为纳税人缴费人办理税务登记、发票领购、申报纳税、社保缴费等业务提供详细的咨询服务，告知纳税人缴费人所需提交资料、办理时间和地点等；指导纳税人缴费人使用全国统一规范电子税务局网页端、电子税务局 </w:t>
      </w:r>
      <w:r>
        <w:rPr>
          <w:rFonts w:hint="eastAsia" w:ascii="宋体" w:hAnsi="宋体" w:eastAsia="宋体" w:cs="宋体"/>
          <w:kern w:val="0"/>
          <w:sz w:val="21"/>
          <w:szCs w:val="21"/>
          <w:highlight w:val="none"/>
        </w:rPr>
        <w:t>APP</w:t>
      </w:r>
      <w:r>
        <w:rPr>
          <w:rFonts w:hint="eastAsia" w:ascii="宋体" w:hAnsi="宋体" w:eastAsia="宋体" w:cs="宋体"/>
          <w:spacing w:val="0"/>
          <w:kern w:val="0"/>
          <w:sz w:val="21"/>
          <w:szCs w:val="21"/>
          <w:highlight w:val="none"/>
        </w:rPr>
        <w:t xml:space="preserve">、自然人电子税务局扣缴端、个人所得税 </w:t>
      </w:r>
      <w:r>
        <w:rPr>
          <w:rFonts w:hint="eastAsia" w:ascii="宋体" w:hAnsi="宋体" w:eastAsia="宋体" w:cs="宋体"/>
          <w:kern w:val="0"/>
          <w:sz w:val="21"/>
          <w:szCs w:val="21"/>
          <w:highlight w:val="none"/>
        </w:rPr>
        <w:t>APP</w:t>
      </w:r>
      <w:r>
        <w:rPr>
          <w:rFonts w:hint="eastAsia" w:ascii="宋体" w:hAnsi="宋体" w:eastAsia="宋体" w:cs="宋体"/>
          <w:spacing w:val="0"/>
          <w:kern w:val="0"/>
          <w:sz w:val="21"/>
          <w:szCs w:val="21"/>
          <w:highlight w:val="none"/>
        </w:rPr>
        <w:t>、社保缴费小程序、社保费管理客户端等办理相关业务，包括如何网上申报、开具数电发票、提交发票额度调整申请等。</w:t>
      </w:r>
    </w:p>
    <w:p>
      <w:pPr>
        <w:widowControl/>
        <w:spacing w:before="0" w:line="360" w:lineRule="auto"/>
        <w:ind w:left="0" w:right="0" w:firstLine="420" w:firstLineChars="200"/>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3.记录和转办投诉和举报：记录和转办纳税人缴费人对税务机关工作人员在税费服务过程中，为按规定要求提供相关服务的投诉，如：服务态度不好、办税效率低等；记录和转办纳税人缴费人对税务机关工作人员在税收工作中的违法违纪行为的举报，如税务干部索贿受贿等。</w:t>
      </w:r>
    </w:p>
    <w:p>
      <w:pPr>
        <w:widowControl/>
        <w:spacing w:before="0" w:line="360" w:lineRule="auto"/>
        <w:ind w:left="0" w:right="0" w:firstLine="420" w:firstLineChars="200"/>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4.记录和转办涉税违法举报：记录和转办对发票的开具、取得、使用等环节存在的违法违规行为进行举报，如应开具而未开具发票，开具虚假发票等。</w:t>
      </w:r>
    </w:p>
    <w:p>
      <w:pPr>
        <w:widowControl/>
        <w:spacing w:before="0" w:line="360" w:lineRule="auto"/>
        <w:ind w:left="0" w:firstLine="420" w:firstLineChars="200"/>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（四）涉税费业务线上线下辅助办理服务</w:t>
      </w:r>
    </w:p>
    <w:p>
      <w:pPr>
        <w:widowControl/>
        <w:spacing w:before="0" w:line="360" w:lineRule="auto"/>
        <w:ind w:left="0" w:right="0" w:firstLine="420" w:firstLineChars="200"/>
        <w:jc w:val="both"/>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积极引导纳税人缴费人利用各类线上办税渠道办理涉税费事项，按要求完成上级各条线各类指标考核要求。对于线上办税辅导，协助完成电子税务局系统及相关问题热线和网上答复，电话通知纳税人缴费人办理相关税费事项。</w:t>
      </w:r>
    </w:p>
    <w:p>
      <w:pPr>
        <w:widowControl/>
        <w:spacing w:before="0" w:line="360" w:lineRule="auto"/>
        <w:ind w:left="0" w:firstLine="420" w:firstLineChars="200"/>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（五）文书资料整理传递归档服务</w:t>
      </w:r>
    </w:p>
    <w:p>
      <w:pPr>
        <w:widowControl/>
        <w:spacing w:before="0" w:line="360" w:lineRule="auto"/>
        <w:ind w:left="0" w:right="0" w:firstLine="420" w:firstLineChars="200"/>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按日收集整理各类文书资料、及时传递纸质资料文书、按规定时限装订装箱各类留存资料文档。</w:t>
      </w:r>
    </w:p>
    <w:p>
      <w:pPr>
        <w:widowControl/>
        <w:spacing w:line="360" w:lineRule="auto"/>
        <w:ind w:firstLine="420" w:firstLineChars="200"/>
        <w:jc w:val="both"/>
        <w:outlineLvl w:val="1"/>
        <w:rPr>
          <w:rFonts w:hint="eastAsia" w:ascii="宋体" w:hAnsi="宋体" w:eastAsia="宋体" w:cs="宋体"/>
          <w:kern w:val="0"/>
          <w:sz w:val="21"/>
          <w:szCs w:val="21"/>
          <w:highlight w:val="none"/>
        </w:rPr>
      </w:pPr>
      <w:r>
        <w:rPr>
          <w:rFonts w:hint="eastAsia" w:ascii="宋体" w:hAnsi="宋体" w:eastAsia="宋体" w:cs="宋体"/>
          <w:spacing w:val="0"/>
          <w:kern w:val="0"/>
          <w:sz w:val="21"/>
          <w:szCs w:val="21"/>
          <w:highlight w:val="none"/>
        </w:rPr>
        <w:t>（六）采购人需要的临时调配等其他相关服务</w:t>
      </w:r>
    </w:p>
    <w:bookmarkEnd w:id="130"/>
    <w:bookmarkEnd w:id="131"/>
    <w:p>
      <w:pPr>
        <w:widowControl/>
        <w:spacing w:line="360" w:lineRule="auto"/>
        <w:jc w:val="left"/>
        <w:outlineLvl w:val="0"/>
        <w:rPr>
          <w:rFonts w:hint="eastAsia" w:ascii="宋体" w:hAnsi="宋体" w:eastAsia="宋体" w:cs="宋体"/>
          <w:b/>
          <w:bCs/>
          <w:kern w:val="0"/>
          <w:sz w:val="21"/>
          <w:szCs w:val="21"/>
          <w:lang w:eastAsia="en-US"/>
        </w:rPr>
      </w:pPr>
      <w:bookmarkStart w:id="132" w:name="_Toc256000017"/>
      <w:bookmarkStart w:id="133" w:name="_Toc17826"/>
      <w:bookmarkStart w:id="134" w:name="_Toc13957"/>
      <w:r>
        <w:rPr>
          <w:rFonts w:hint="eastAsia" w:ascii="宋体" w:hAnsi="宋体" w:eastAsia="宋体" w:cs="宋体"/>
          <w:b/>
          <w:bCs/>
          <w:kern w:val="0"/>
          <w:sz w:val="21"/>
          <w:szCs w:val="21"/>
          <w:lang w:eastAsia="en-US"/>
        </w:rPr>
        <w:t>3.2服务内容和要求</w:t>
      </w:r>
      <w:bookmarkEnd w:id="132"/>
      <w:bookmarkEnd w:id="133"/>
      <w:bookmarkEnd w:id="134"/>
    </w:p>
    <w:p>
      <w:pPr>
        <w:widowControl/>
        <w:spacing w:line="360" w:lineRule="auto"/>
        <w:ind w:firstLine="420" w:firstLineChars="200"/>
        <w:jc w:val="both"/>
        <w:outlineLvl w:val="1"/>
        <w:rPr>
          <w:rFonts w:hint="eastAsia" w:ascii="宋体" w:hAnsi="宋体" w:eastAsia="宋体" w:cs="宋体"/>
          <w:kern w:val="0"/>
          <w:sz w:val="21"/>
          <w:szCs w:val="21"/>
        </w:rPr>
      </w:pPr>
      <w:bookmarkStart w:id="135" w:name="_Toc14915"/>
      <w:bookmarkStart w:id="136" w:name="_Toc16579"/>
      <w:r>
        <w:rPr>
          <w:rFonts w:hint="eastAsia" w:ascii="宋体" w:hAnsi="宋体" w:eastAsia="宋体" w:cs="宋体"/>
          <w:kern w:val="0"/>
          <w:sz w:val="21"/>
          <w:szCs w:val="21"/>
        </w:rPr>
        <w:t>采购文件（技术部分）中有标注★号的，为必备服务要求，必须满足，如未作出响应，将导致响应无效；#为重要服务内容、△为一般服务内容。</w:t>
      </w:r>
      <w:bookmarkEnd w:id="135"/>
      <w:bookmarkEnd w:id="136"/>
    </w:p>
    <w:p>
      <w:pPr>
        <w:widowControl/>
        <w:spacing w:line="360" w:lineRule="auto"/>
        <w:jc w:val="left"/>
        <w:outlineLvl w:val="1"/>
        <w:rPr>
          <w:rFonts w:hint="eastAsia" w:ascii="宋体" w:hAnsi="宋体" w:eastAsia="宋体" w:cs="宋体"/>
          <w:b/>
          <w:bCs/>
          <w:kern w:val="0"/>
          <w:sz w:val="21"/>
          <w:szCs w:val="21"/>
          <w:lang w:eastAsia="zh-CN"/>
        </w:rPr>
      </w:pPr>
      <w:bookmarkStart w:id="137" w:name="_Toc256000018"/>
      <w:bookmarkStart w:id="138" w:name="_Toc13558"/>
      <w:bookmarkStart w:id="139" w:name="_Toc11821"/>
      <w:r>
        <w:rPr>
          <w:rFonts w:hint="eastAsia" w:ascii="宋体" w:hAnsi="宋体" w:eastAsia="宋体" w:cs="宋体"/>
          <w:b/>
          <w:bCs/>
          <w:kern w:val="0"/>
          <w:sz w:val="21"/>
          <w:szCs w:val="21"/>
          <w:lang w:eastAsia="en-US"/>
        </w:rPr>
        <w:t>3.2.1</w:t>
      </w:r>
      <w:bookmarkEnd w:id="137"/>
      <w:r>
        <w:rPr>
          <w:rFonts w:hint="eastAsia" w:ascii="宋体" w:hAnsi="宋体" w:eastAsia="宋体" w:cs="宋体"/>
          <w:b/>
          <w:bCs/>
          <w:kern w:val="0"/>
          <w:sz w:val="21"/>
          <w:szCs w:val="21"/>
          <w:lang w:eastAsia="zh-CN"/>
        </w:rPr>
        <w:t>总体实施要求</w:t>
      </w:r>
      <w:bookmarkEnd w:id="138"/>
      <w:bookmarkEnd w:id="139"/>
    </w:p>
    <w:tbl>
      <w:tblPr>
        <w:tblStyle w:val="20"/>
        <w:tblW w:w="5656" w:type="pct"/>
        <w:tblInd w:w="11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67"/>
        <w:gridCol w:w="1263"/>
        <w:gridCol w:w="1156"/>
        <w:gridCol w:w="4176"/>
        <w:gridCol w:w="762"/>
        <w:gridCol w:w="1421"/>
        <w:tblGridChange w:id="1">
          <w:tblGrid>
            <w:gridCol w:w="86"/>
            <w:gridCol w:w="512"/>
            <w:gridCol w:w="86"/>
            <w:gridCol w:w="1046"/>
            <w:gridCol w:w="86"/>
            <w:gridCol w:w="950"/>
            <w:gridCol w:w="86"/>
            <w:gridCol w:w="3743"/>
            <w:gridCol w:w="683"/>
            <w:gridCol w:w="1274"/>
          </w:tblGrid>
        </w:tblGridChange>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wBefore w:w="86" w:type="dxa"/>
          <w:wAfter w:w="895" w:type="dxa"/>
        </w:trPr>
        <w:tc>
          <w:tcPr>
            <w:tcW w:w="598" w:type="dxa"/>
            <w:tcBorders>
              <w:top w:val="single" w:color="000000" w:sz="6" w:space="0"/>
              <w:left w:val="single" w:color="000000" w:sz="6" w:space="0"/>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b/>
                <w:kern w:val="2"/>
                <w:sz w:val="21"/>
                <w:szCs w:val="21"/>
              </w:rPr>
            </w:pPr>
            <w:bookmarkStart w:id="140" w:name="_Toc256000019"/>
            <w:bookmarkStart w:id="141" w:name="_Toc19594"/>
            <w:bookmarkStart w:id="142" w:name="_Toc12849"/>
            <w:r>
              <w:rPr>
                <w:rFonts w:hint="eastAsia" w:ascii="宋体" w:hAnsi="宋体" w:eastAsia="宋体" w:cs="宋体"/>
                <w:b/>
                <w:kern w:val="2"/>
                <w:sz w:val="21"/>
                <w:szCs w:val="21"/>
                <w:lang w:val="en-US" w:eastAsia="zh-CN" w:bidi="ar"/>
              </w:rPr>
              <w:t>序号</w:t>
            </w:r>
          </w:p>
        </w:tc>
        <w:tc>
          <w:tcPr>
            <w:tcW w:w="1132"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b/>
                <w:kern w:val="2"/>
                <w:sz w:val="21"/>
                <w:szCs w:val="21"/>
              </w:rPr>
            </w:pPr>
            <w:r>
              <w:rPr>
                <w:rFonts w:hint="eastAsia" w:ascii="宋体" w:hAnsi="宋体" w:eastAsia="宋体" w:cs="宋体"/>
                <w:b/>
                <w:kern w:val="2"/>
                <w:sz w:val="21"/>
                <w:szCs w:val="21"/>
                <w:lang w:val="en-US" w:eastAsia="zh-CN" w:bidi="ar"/>
              </w:rPr>
              <w:t>指标</w:t>
            </w:r>
          </w:p>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b/>
                <w:kern w:val="2"/>
                <w:sz w:val="21"/>
                <w:szCs w:val="21"/>
              </w:rPr>
            </w:pPr>
            <w:r>
              <w:rPr>
                <w:rFonts w:hint="eastAsia" w:ascii="宋体" w:hAnsi="宋体" w:eastAsia="宋体" w:cs="宋体"/>
                <w:b/>
                <w:kern w:val="2"/>
                <w:sz w:val="21"/>
                <w:szCs w:val="21"/>
                <w:lang w:val="en-US" w:eastAsia="zh-CN" w:bidi="ar"/>
              </w:rPr>
              <w:t>种类</w:t>
            </w:r>
          </w:p>
        </w:tc>
        <w:tc>
          <w:tcPr>
            <w:tcW w:w="1036"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b/>
                <w:kern w:val="2"/>
                <w:sz w:val="21"/>
                <w:szCs w:val="21"/>
              </w:rPr>
            </w:pPr>
            <w:r>
              <w:rPr>
                <w:rFonts w:hint="eastAsia" w:ascii="宋体" w:hAnsi="宋体" w:eastAsia="宋体" w:cs="宋体"/>
                <w:b/>
                <w:kern w:val="2"/>
                <w:sz w:val="21"/>
                <w:szCs w:val="21"/>
                <w:lang w:val="en-US" w:eastAsia="zh-CN" w:bidi="ar"/>
              </w:rPr>
              <w:t>指标</w:t>
            </w:r>
          </w:p>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b/>
                <w:kern w:val="2"/>
                <w:sz w:val="21"/>
                <w:szCs w:val="21"/>
              </w:rPr>
            </w:pPr>
            <w:r>
              <w:rPr>
                <w:rFonts w:hint="eastAsia" w:ascii="宋体" w:hAnsi="宋体" w:eastAsia="宋体" w:cs="宋体"/>
                <w:b/>
                <w:kern w:val="2"/>
                <w:sz w:val="21"/>
                <w:szCs w:val="21"/>
                <w:lang w:val="en-US" w:eastAsia="zh-CN" w:bidi="ar"/>
              </w:rPr>
              <w:t>名称</w:t>
            </w:r>
          </w:p>
        </w:tc>
        <w:tc>
          <w:tcPr>
            <w:tcW w:w="374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b/>
                <w:kern w:val="2"/>
                <w:sz w:val="21"/>
                <w:szCs w:val="21"/>
              </w:rPr>
            </w:pPr>
            <w:r>
              <w:rPr>
                <w:rFonts w:hint="eastAsia" w:ascii="宋体" w:hAnsi="宋体" w:eastAsia="宋体" w:cs="宋体"/>
                <w:b/>
                <w:kern w:val="2"/>
                <w:sz w:val="21"/>
                <w:szCs w:val="21"/>
                <w:lang w:val="en-US" w:eastAsia="zh-CN" w:bidi="ar"/>
              </w:rPr>
              <w:t>指标内容</w:t>
            </w:r>
          </w:p>
        </w:tc>
        <w:tc>
          <w:tcPr>
            <w:tcW w:w="68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b/>
                <w:kern w:val="2"/>
                <w:sz w:val="21"/>
                <w:szCs w:val="21"/>
              </w:rPr>
            </w:pPr>
            <w:r>
              <w:rPr>
                <w:rFonts w:hint="eastAsia" w:ascii="宋体" w:hAnsi="宋体" w:eastAsia="宋体" w:cs="宋体"/>
                <w:b/>
                <w:kern w:val="2"/>
                <w:sz w:val="21"/>
                <w:szCs w:val="21"/>
                <w:lang w:val="en-US" w:eastAsia="zh-CN" w:bidi="ar"/>
              </w:rPr>
              <w:t>重要性</w:t>
            </w:r>
          </w:p>
        </w:tc>
        <w:tc>
          <w:tcPr>
            <w:tcW w:w="1274"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b/>
                <w:kern w:val="2"/>
                <w:sz w:val="21"/>
                <w:szCs w:val="21"/>
              </w:rPr>
            </w:pPr>
            <w:r>
              <w:rPr>
                <w:rFonts w:hint="eastAsia" w:ascii="宋体" w:hAnsi="宋体" w:eastAsia="宋体" w:cs="宋体"/>
                <w:b/>
                <w:kern w:val="2"/>
                <w:sz w:val="21"/>
                <w:szCs w:val="21"/>
                <w:lang w:val="en-US" w:eastAsia="zh-CN" w:bidi="ar"/>
              </w:rPr>
              <w:t>是否需要证明材料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Before w:w="86" w:type="dxa"/>
          <w:wAfter w:w="895" w:type="dxa"/>
        </w:trPr>
        <w:tc>
          <w:tcPr>
            <w:tcW w:w="598" w:type="dxa"/>
            <w:tcBorders>
              <w:top w:val="single" w:color="000000" w:sz="6" w:space="0"/>
              <w:left w:val="single" w:color="000000" w:sz="6" w:space="0"/>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1</w:t>
            </w:r>
          </w:p>
        </w:tc>
        <w:tc>
          <w:tcPr>
            <w:tcW w:w="1132"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技术和服务</w:t>
            </w:r>
          </w:p>
        </w:tc>
        <w:tc>
          <w:tcPr>
            <w:tcW w:w="1036"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kern w:val="2"/>
                <w:sz w:val="21"/>
                <w:szCs w:val="21"/>
              </w:rPr>
            </w:pPr>
            <w:r>
              <w:rPr>
                <w:rFonts w:hint="default"/>
                <w:spacing w:val="7"/>
                <w:sz w:val="20"/>
                <w:szCs w:val="20"/>
              </w:rPr>
              <w:t>导税服务</w:t>
            </w:r>
          </w:p>
        </w:tc>
        <w:tc>
          <w:tcPr>
            <w:tcW w:w="374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供应商提供的服务人员应根据纳税人缴费人的业务需求，引导纳税人缴费人前往正确的涉税窗口办理业务。</w:t>
            </w:r>
          </w:p>
        </w:tc>
        <w:tc>
          <w:tcPr>
            <w:tcW w:w="68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w:t>
            </w:r>
          </w:p>
        </w:tc>
        <w:tc>
          <w:tcPr>
            <w:tcW w:w="1274"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Before w:w="86" w:type="dxa"/>
          <w:wAfter w:w="895" w:type="dxa"/>
          <w:trHeight w:val="1532" w:hRule="atLeast"/>
        </w:trPr>
        <w:tc>
          <w:tcPr>
            <w:tcW w:w="598" w:type="dxa"/>
            <w:tcBorders>
              <w:top w:val="single" w:color="000000" w:sz="6" w:space="0"/>
              <w:left w:val="single" w:color="000000" w:sz="6" w:space="0"/>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2</w:t>
            </w:r>
          </w:p>
        </w:tc>
        <w:tc>
          <w:tcPr>
            <w:tcW w:w="1132"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技术和服务</w:t>
            </w:r>
          </w:p>
        </w:tc>
        <w:tc>
          <w:tcPr>
            <w:tcW w:w="1036"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kern w:val="2"/>
                <w:sz w:val="21"/>
                <w:szCs w:val="21"/>
              </w:rPr>
            </w:pPr>
            <w:r>
              <w:rPr>
                <w:rFonts w:hint="default"/>
                <w:spacing w:val="7"/>
                <w:sz w:val="20"/>
                <w:szCs w:val="20"/>
              </w:rPr>
              <w:t>导税服务</w:t>
            </w:r>
          </w:p>
        </w:tc>
        <w:tc>
          <w:tcPr>
            <w:tcW w:w="374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根据纳税人缴费人的业务需要为其提供相应的办税表单。</w:t>
            </w:r>
          </w:p>
        </w:tc>
        <w:tc>
          <w:tcPr>
            <w:tcW w:w="68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w:t>
            </w:r>
          </w:p>
        </w:tc>
        <w:tc>
          <w:tcPr>
            <w:tcW w:w="1274"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Before w:w="86" w:type="dxa"/>
          <w:wAfter w:w="895" w:type="dxa"/>
        </w:trPr>
        <w:tc>
          <w:tcPr>
            <w:tcW w:w="598" w:type="dxa"/>
            <w:tcBorders>
              <w:top w:val="single" w:color="000000" w:sz="6" w:space="0"/>
              <w:left w:val="single" w:color="000000" w:sz="6" w:space="0"/>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3</w:t>
            </w:r>
          </w:p>
        </w:tc>
        <w:tc>
          <w:tcPr>
            <w:tcW w:w="1132"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技术和服务</w:t>
            </w:r>
          </w:p>
        </w:tc>
        <w:tc>
          <w:tcPr>
            <w:tcW w:w="1036"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rPr>
              <w:t>税费辅导服务</w:t>
            </w:r>
          </w:p>
        </w:tc>
        <w:tc>
          <w:tcPr>
            <w:tcW w:w="374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协助分局在职干部对大连市内四区土地、房屋交易所涉及的税收管理工作，包括受理税收业务信息、收缴税款并开具完税证明等。</w:t>
            </w:r>
          </w:p>
        </w:tc>
        <w:tc>
          <w:tcPr>
            <w:tcW w:w="68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w:t>
            </w:r>
          </w:p>
        </w:tc>
        <w:tc>
          <w:tcPr>
            <w:tcW w:w="1274"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Before w:w="86" w:type="dxa"/>
          <w:wAfter w:w="895" w:type="dxa"/>
        </w:trPr>
        <w:tc>
          <w:tcPr>
            <w:tcW w:w="598" w:type="dxa"/>
            <w:tcBorders>
              <w:top w:val="single" w:color="000000" w:sz="6" w:space="0"/>
              <w:left w:val="single" w:color="000000" w:sz="6" w:space="0"/>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default"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4</w:t>
            </w:r>
          </w:p>
        </w:tc>
        <w:tc>
          <w:tcPr>
            <w:tcW w:w="1132"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技术和服务</w:t>
            </w:r>
          </w:p>
        </w:tc>
        <w:tc>
          <w:tcPr>
            <w:tcW w:w="1036"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lang w:val="en-US" w:eastAsia="zh-CN" w:bidi="ar-SA"/>
              </w:rPr>
            </w:pPr>
            <w:r>
              <w:rPr>
                <w:rFonts w:hint="eastAsia" w:ascii="宋体" w:hAnsi="宋体" w:eastAsia="宋体" w:cs="宋体"/>
                <w:szCs w:val="21"/>
                <w:lang w:bidi="ar"/>
              </w:rPr>
              <w:t>税费辅导服务</w:t>
            </w:r>
          </w:p>
        </w:tc>
        <w:tc>
          <w:tcPr>
            <w:tcW w:w="374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根据采购人的统筹安排，开展税（费）政策、税法等内容宣传。</w:t>
            </w:r>
          </w:p>
        </w:tc>
        <w:tc>
          <w:tcPr>
            <w:tcW w:w="68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w:t>
            </w:r>
          </w:p>
        </w:tc>
        <w:tc>
          <w:tcPr>
            <w:tcW w:w="1274"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Before w:w="86" w:type="dxa"/>
          <w:wAfter w:w="895" w:type="dxa"/>
        </w:trPr>
        <w:tc>
          <w:tcPr>
            <w:tcW w:w="598" w:type="dxa"/>
            <w:tcBorders>
              <w:top w:val="single" w:color="000000" w:sz="6" w:space="0"/>
              <w:left w:val="single" w:color="000000" w:sz="6" w:space="0"/>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5</w:t>
            </w:r>
          </w:p>
        </w:tc>
        <w:tc>
          <w:tcPr>
            <w:tcW w:w="1132"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技术和服务</w:t>
            </w:r>
          </w:p>
        </w:tc>
        <w:tc>
          <w:tcPr>
            <w:tcW w:w="1036"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lang w:val="en-US" w:eastAsia="zh-CN" w:bidi="ar-SA"/>
              </w:rPr>
            </w:pPr>
            <w:r>
              <w:rPr>
                <w:rFonts w:hint="eastAsia" w:ascii="宋体" w:hAnsi="宋体" w:eastAsia="宋体" w:cs="宋体"/>
                <w:szCs w:val="21"/>
                <w:lang w:bidi="ar"/>
              </w:rPr>
              <w:t>热线咨询服务</w:t>
            </w:r>
          </w:p>
        </w:tc>
        <w:tc>
          <w:tcPr>
            <w:tcW w:w="374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根据采购人的统筹安排，解答纳税人(缴费人)及社会公众提出的税收法律法规、征管规定、办税流程、涉税系统操作等各类税收业务咨询。</w:t>
            </w:r>
          </w:p>
        </w:tc>
        <w:tc>
          <w:tcPr>
            <w:tcW w:w="68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w:t>
            </w:r>
          </w:p>
        </w:tc>
        <w:tc>
          <w:tcPr>
            <w:tcW w:w="1274"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Before w:w="86" w:type="dxa"/>
          <w:wAfter w:w="895" w:type="dxa"/>
        </w:trPr>
        <w:tc>
          <w:tcPr>
            <w:tcW w:w="598" w:type="dxa"/>
            <w:tcBorders>
              <w:top w:val="single" w:color="000000" w:sz="6" w:space="0"/>
              <w:left w:val="single" w:color="000000" w:sz="6" w:space="0"/>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6</w:t>
            </w:r>
          </w:p>
        </w:tc>
        <w:tc>
          <w:tcPr>
            <w:tcW w:w="1132"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技术和服务</w:t>
            </w:r>
          </w:p>
        </w:tc>
        <w:tc>
          <w:tcPr>
            <w:tcW w:w="1036"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lang w:val="en-US" w:eastAsia="zh-CN" w:bidi="ar-SA"/>
              </w:rPr>
            </w:pPr>
            <w:r>
              <w:rPr>
                <w:rFonts w:hint="default"/>
                <w:spacing w:val="9"/>
              </w:rPr>
              <w:t>涉税费业务线上辅助办理服务</w:t>
            </w:r>
          </w:p>
        </w:tc>
        <w:tc>
          <w:tcPr>
            <w:tcW w:w="374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引导纳税人缴费人使用电子税务局、自助办税终端等进行信息确认、综合事项报告、税费缴纳等辅导服务。</w:t>
            </w:r>
          </w:p>
        </w:tc>
        <w:tc>
          <w:tcPr>
            <w:tcW w:w="68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w:t>
            </w:r>
          </w:p>
        </w:tc>
        <w:tc>
          <w:tcPr>
            <w:tcW w:w="1274"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Before w:w="86" w:type="dxa"/>
          <w:wAfter w:w="895" w:type="dxa"/>
        </w:trPr>
        <w:tc>
          <w:tcPr>
            <w:tcW w:w="598" w:type="dxa"/>
            <w:tcBorders>
              <w:top w:val="single" w:color="000000" w:sz="6" w:space="0"/>
              <w:left w:val="single" w:color="000000" w:sz="6" w:space="0"/>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7</w:t>
            </w:r>
          </w:p>
        </w:tc>
        <w:tc>
          <w:tcPr>
            <w:tcW w:w="1132"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技术和服务</w:t>
            </w:r>
          </w:p>
        </w:tc>
        <w:tc>
          <w:tcPr>
            <w:tcW w:w="1036"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lang w:val="en-US" w:eastAsia="zh-CN" w:bidi="ar-SA"/>
              </w:rPr>
            </w:pPr>
            <w:r>
              <w:rPr>
                <w:rFonts w:hint="default"/>
                <w:spacing w:val="9"/>
              </w:rPr>
              <w:t>涉税费业务线上辅助办理服务</w:t>
            </w:r>
          </w:p>
        </w:tc>
        <w:tc>
          <w:tcPr>
            <w:tcW w:w="374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提高纳税人缴费人的网上办事意识。辅导纳税人（缴费人）通过电子税务局、自助办税终端等渠道办理税费事项。</w:t>
            </w:r>
          </w:p>
        </w:tc>
        <w:tc>
          <w:tcPr>
            <w:tcW w:w="68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w:t>
            </w:r>
          </w:p>
        </w:tc>
        <w:tc>
          <w:tcPr>
            <w:tcW w:w="1274"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Before w:w="86" w:type="dxa"/>
          <w:wAfter w:w="895" w:type="dxa"/>
        </w:trPr>
        <w:tc>
          <w:tcPr>
            <w:tcW w:w="598" w:type="dxa"/>
            <w:tcBorders>
              <w:top w:val="single" w:color="000000" w:sz="6" w:space="0"/>
              <w:left w:val="single" w:color="000000" w:sz="6" w:space="0"/>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8</w:t>
            </w:r>
          </w:p>
        </w:tc>
        <w:tc>
          <w:tcPr>
            <w:tcW w:w="1132"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技术和服务</w:t>
            </w:r>
          </w:p>
        </w:tc>
        <w:tc>
          <w:tcPr>
            <w:tcW w:w="1036"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lang w:val="en-US" w:eastAsia="zh-CN" w:bidi="ar-SA"/>
              </w:rPr>
            </w:pPr>
            <w:r>
              <w:rPr>
                <w:rFonts w:hint="default"/>
                <w:spacing w:val="9"/>
              </w:rPr>
              <w:t>涉税费业务线下辅助办理服务</w:t>
            </w:r>
          </w:p>
        </w:tc>
        <w:tc>
          <w:tcPr>
            <w:tcW w:w="374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辅导纳税人缴费人进行税费申报、发票领用、发票代开、三方协议签订等相关业务。</w:t>
            </w:r>
          </w:p>
        </w:tc>
        <w:tc>
          <w:tcPr>
            <w:tcW w:w="68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w:t>
            </w:r>
          </w:p>
        </w:tc>
        <w:tc>
          <w:tcPr>
            <w:tcW w:w="1274"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Before w:w="86" w:type="dxa"/>
          <w:wAfter w:w="895" w:type="dxa"/>
        </w:trPr>
        <w:tc>
          <w:tcPr>
            <w:tcW w:w="598" w:type="dxa"/>
            <w:tcBorders>
              <w:top w:val="single" w:color="000000" w:sz="6" w:space="0"/>
              <w:left w:val="single" w:color="000000" w:sz="6" w:space="0"/>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9</w:t>
            </w:r>
          </w:p>
        </w:tc>
        <w:tc>
          <w:tcPr>
            <w:tcW w:w="1132"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技术和服务</w:t>
            </w:r>
          </w:p>
        </w:tc>
        <w:tc>
          <w:tcPr>
            <w:tcW w:w="1036"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rPr>
            </w:pPr>
            <w:r>
              <w:rPr>
                <w:rFonts w:hint="default"/>
                <w:spacing w:val="9"/>
              </w:rPr>
              <w:t>涉税费业务线下辅助办理服务</w:t>
            </w:r>
          </w:p>
        </w:tc>
        <w:tc>
          <w:tcPr>
            <w:tcW w:w="374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辅导纳税人缴费人进行相关表单的正确填写。</w:t>
            </w:r>
          </w:p>
        </w:tc>
        <w:tc>
          <w:tcPr>
            <w:tcW w:w="68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w:t>
            </w:r>
          </w:p>
        </w:tc>
        <w:tc>
          <w:tcPr>
            <w:tcW w:w="1274"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Before w:w="86" w:type="dxa"/>
          <w:wAfter w:w="895" w:type="dxa"/>
        </w:trPr>
        <w:tc>
          <w:tcPr>
            <w:tcW w:w="598" w:type="dxa"/>
            <w:tcBorders>
              <w:top w:val="single" w:color="000000" w:sz="6" w:space="0"/>
              <w:left w:val="single" w:color="000000" w:sz="6" w:space="0"/>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default"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10</w:t>
            </w:r>
          </w:p>
        </w:tc>
        <w:tc>
          <w:tcPr>
            <w:tcW w:w="1132"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技术和服务</w:t>
            </w:r>
          </w:p>
        </w:tc>
        <w:tc>
          <w:tcPr>
            <w:tcW w:w="1036"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lang w:val="en-US" w:eastAsia="zh-CN" w:bidi="ar-SA"/>
              </w:rPr>
            </w:pPr>
            <w:r>
              <w:rPr>
                <w:rFonts w:hint="default"/>
                <w:spacing w:val="8"/>
              </w:rPr>
              <w:t>文书资料整理传递归档服务</w:t>
            </w:r>
          </w:p>
        </w:tc>
        <w:tc>
          <w:tcPr>
            <w:tcW w:w="374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根据纳税人(缴费人)提供的申请、申报等表单，进行相关数据的登记录入。</w:t>
            </w:r>
          </w:p>
        </w:tc>
        <w:tc>
          <w:tcPr>
            <w:tcW w:w="68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w:t>
            </w:r>
          </w:p>
        </w:tc>
        <w:tc>
          <w:tcPr>
            <w:tcW w:w="1274"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leftChars="0" w:right="0" w:rightChars="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
              </w:rPr>
              <w:t>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Before w:w="86" w:type="dxa"/>
          <w:wAfter w:w="895" w:type="dxa"/>
        </w:trPr>
        <w:tc>
          <w:tcPr>
            <w:tcW w:w="598" w:type="dxa"/>
            <w:tcBorders>
              <w:top w:val="single" w:color="000000" w:sz="6" w:space="0"/>
              <w:left w:val="single" w:color="000000" w:sz="6" w:space="0"/>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11</w:t>
            </w:r>
          </w:p>
        </w:tc>
        <w:tc>
          <w:tcPr>
            <w:tcW w:w="1132"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技术和服务</w:t>
            </w:r>
          </w:p>
        </w:tc>
        <w:tc>
          <w:tcPr>
            <w:tcW w:w="1036"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kern w:val="2"/>
                <w:sz w:val="21"/>
                <w:szCs w:val="21"/>
              </w:rPr>
            </w:pPr>
            <w:r>
              <w:rPr>
                <w:rFonts w:hint="default"/>
                <w:spacing w:val="8"/>
              </w:rPr>
              <w:t>文书资料整理传递归档服务</w:t>
            </w:r>
          </w:p>
        </w:tc>
        <w:tc>
          <w:tcPr>
            <w:tcW w:w="374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按照各类档案资料（涉密资料除外）的归档范围、归档要求协助进行分类、扫描、装订、排列、编号、编目、装盒。</w:t>
            </w:r>
          </w:p>
        </w:tc>
        <w:tc>
          <w:tcPr>
            <w:tcW w:w="68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w:t>
            </w:r>
          </w:p>
        </w:tc>
        <w:tc>
          <w:tcPr>
            <w:tcW w:w="1274"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Before w:w="86" w:type="dxa"/>
          <w:wAfter w:w="895" w:type="dxa"/>
        </w:trPr>
        <w:tc>
          <w:tcPr>
            <w:tcW w:w="598" w:type="dxa"/>
            <w:tcBorders>
              <w:top w:val="single" w:color="000000" w:sz="6" w:space="0"/>
              <w:left w:val="single" w:color="000000" w:sz="6" w:space="0"/>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12</w:t>
            </w:r>
          </w:p>
        </w:tc>
        <w:tc>
          <w:tcPr>
            <w:tcW w:w="1132"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技术和服务</w:t>
            </w:r>
          </w:p>
        </w:tc>
        <w:tc>
          <w:tcPr>
            <w:tcW w:w="1036"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kern w:val="2"/>
                <w:sz w:val="21"/>
                <w:szCs w:val="21"/>
              </w:rPr>
            </w:pPr>
            <w:r>
              <w:rPr>
                <w:rFonts w:hint="eastAsia" w:ascii="宋体" w:hAnsi="宋体" w:eastAsia="宋体" w:cs="宋体"/>
                <w:szCs w:val="21"/>
                <w:lang w:bidi="ar"/>
              </w:rPr>
              <w:t>文书资料整理传递归档服务</w:t>
            </w:r>
          </w:p>
        </w:tc>
        <w:tc>
          <w:tcPr>
            <w:tcW w:w="374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收发文的分类、保管、领取，正式发文、信息简报、税收分析、会议材料、汇报材料的排版、打印、盖章、装订和归档，信件、快递的收发、登记、跟踪(包括但不限于EMS)。</w:t>
            </w:r>
          </w:p>
        </w:tc>
        <w:tc>
          <w:tcPr>
            <w:tcW w:w="68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w:t>
            </w:r>
          </w:p>
        </w:tc>
        <w:tc>
          <w:tcPr>
            <w:tcW w:w="1274"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Before w:w="86" w:type="dxa"/>
          <w:wAfter w:w="895" w:type="dxa"/>
        </w:trPr>
        <w:tc>
          <w:tcPr>
            <w:tcW w:w="598" w:type="dxa"/>
            <w:tcBorders>
              <w:top w:val="single" w:color="000000" w:sz="6" w:space="0"/>
              <w:left w:val="single" w:color="000000" w:sz="6" w:space="0"/>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13</w:t>
            </w:r>
          </w:p>
        </w:tc>
        <w:tc>
          <w:tcPr>
            <w:tcW w:w="1132"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技术和服务</w:t>
            </w:r>
          </w:p>
        </w:tc>
        <w:tc>
          <w:tcPr>
            <w:tcW w:w="1036"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人员服务质量</w:t>
            </w:r>
          </w:p>
        </w:tc>
        <w:tc>
          <w:tcPr>
            <w:tcW w:w="374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承诺服务期间服务有效投诉≤1％，处理率100％。</w:t>
            </w:r>
          </w:p>
        </w:tc>
        <w:tc>
          <w:tcPr>
            <w:tcW w:w="68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w:t>
            </w:r>
          </w:p>
        </w:tc>
        <w:tc>
          <w:tcPr>
            <w:tcW w:w="1274"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Before w:w="86" w:type="dxa"/>
          <w:wAfter w:w="895" w:type="dxa"/>
        </w:trPr>
        <w:tc>
          <w:tcPr>
            <w:tcW w:w="598" w:type="dxa"/>
            <w:tcBorders>
              <w:top w:val="single" w:color="000000" w:sz="6" w:space="0"/>
              <w:left w:val="single" w:color="000000" w:sz="6" w:space="0"/>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14</w:t>
            </w:r>
          </w:p>
        </w:tc>
        <w:tc>
          <w:tcPr>
            <w:tcW w:w="1132"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技术和服务</w:t>
            </w:r>
          </w:p>
        </w:tc>
        <w:tc>
          <w:tcPr>
            <w:tcW w:w="1036"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人员服务质量</w:t>
            </w:r>
          </w:p>
        </w:tc>
        <w:tc>
          <w:tcPr>
            <w:tcW w:w="374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承诺服务期间纳税人缴费人满意率&gt;98％。</w:t>
            </w:r>
          </w:p>
        </w:tc>
        <w:tc>
          <w:tcPr>
            <w:tcW w:w="683"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w:t>
            </w:r>
          </w:p>
        </w:tc>
        <w:tc>
          <w:tcPr>
            <w:tcW w:w="1274" w:type="dxa"/>
            <w:tcBorders>
              <w:top w:val="single" w:color="000000" w:sz="6" w:space="0"/>
              <w:left w:val="nil"/>
              <w:bottom w:val="single" w:color="000000" w:sz="6" w:space="0"/>
              <w:right w:val="single" w:color="000000" w:sz="6" w:space="0"/>
            </w:tcBorders>
            <w:shd w:val="clear" w:color="auto" w:fill="auto"/>
            <w:noWrap/>
            <w:tcMar>
              <w:top w:w="22" w:type="dxa"/>
              <w:left w:w="22" w:type="dxa"/>
              <w:bottom w:w="22" w:type="dxa"/>
              <w:right w:w="22" w:type="dxa"/>
            </w:tcMar>
            <w:vAlign w:val="center"/>
          </w:tcPr>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否</w:t>
            </w:r>
          </w:p>
        </w:tc>
      </w:tr>
    </w:tbl>
    <w:p>
      <w:pPr>
        <w:pStyle w:val="10"/>
        <w:spacing w:before="66" w:beforeLines="0" w:afterLines="0" w:line="228" w:lineRule="auto"/>
        <w:ind w:left="0"/>
        <w:rPr>
          <w:rFonts w:hint="default"/>
          <w:b/>
          <w:bCs/>
          <w:spacing w:val="6"/>
          <w:sz w:val="20"/>
          <w:szCs w:val="20"/>
        </w:rPr>
      </w:pPr>
    </w:p>
    <w:p>
      <w:pPr>
        <w:pStyle w:val="10"/>
        <w:spacing w:before="66" w:beforeLines="0" w:afterLines="0" w:line="228" w:lineRule="auto"/>
        <w:ind w:left="3829"/>
        <w:rPr>
          <w:rFonts w:hint="default"/>
          <w:bCs/>
          <w:sz w:val="20"/>
          <w:szCs w:val="20"/>
        </w:rPr>
      </w:pPr>
      <w:r>
        <w:rPr>
          <w:rFonts w:hint="default"/>
          <w:b/>
          <w:bCs/>
          <w:spacing w:val="6"/>
          <w:sz w:val="20"/>
          <w:szCs w:val="20"/>
        </w:rPr>
        <w:t>工作量参考表</w:t>
      </w:r>
    </w:p>
    <w:p>
      <w:pPr>
        <w:spacing w:beforeLines="0" w:afterLines="0" w:line="45" w:lineRule="exact"/>
        <w:rPr>
          <w:rFonts w:hint="default"/>
          <w:sz w:val="21"/>
          <w:szCs w:val="21"/>
        </w:rPr>
      </w:pPr>
    </w:p>
    <w:tbl>
      <w:tblPr>
        <w:tblStyle w:val="20"/>
        <w:tblW w:w="855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56"/>
        <w:gridCol w:w="3902"/>
        <w:gridCol w:w="1912"/>
        <w:gridCol w:w="158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7" w:hRule="atLeast"/>
        </w:trPr>
        <w:tc>
          <w:tcPr>
            <w:tcW w:w="1156"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pStyle w:val="52"/>
              <w:keepNext w:val="0"/>
              <w:keepLines w:val="0"/>
              <w:suppressLineNumbers w:val="0"/>
              <w:spacing w:before="0" w:beforeLines="0" w:beforeAutospacing="0" w:after="0" w:afterLines="0" w:afterAutospacing="0" w:line="229" w:lineRule="auto"/>
              <w:ind w:left="0" w:right="0"/>
              <w:jc w:val="center"/>
              <w:rPr>
                <w:rFonts w:hint="default"/>
                <w:sz w:val="20"/>
                <w:szCs w:val="20"/>
                <w:u w:val="none"/>
              </w:rPr>
            </w:pPr>
            <w:r>
              <w:rPr>
                <w:rFonts w:hint="default"/>
                <w:b/>
                <w:spacing w:val="4"/>
                <w:sz w:val="20"/>
                <w:szCs w:val="20"/>
                <w:u w:val="none"/>
              </w:rPr>
              <w:t>序号</w:t>
            </w:r>
          </w:p>
        </w:tc>
        <w:tc>
          <w:tcPr>
            <w:tcW w:w="3902"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pStyle w:val="52"/>
              <w:keepNext w:val="0"/>
              <w:keepLines w:val="0"/>
              <w:suppressLineNumbers w:val="0"/>
              <w:spacing w:before="0" w:beforeLines="0" w:beforeAutospacing="0" w:after="0" w:afterLines="0" w:afterAutospacing="0" w:line="228" w:lineRule="auto"/>
              <w:ind w:left="0" w:right="0"/>
              <w:jc w:val="center"/>
              <w:rPr>
                <w:rFonts w:hint="default"/>
                <w:sz w:val="20"/>
                <w:szCs w:val="20"/>
                <w:u w:val="none"/>
              </w:rPr>
            </w:pPr>
            <w:r>
              <w:rPr>
                <w:rFonts w:hint="default"/>
                <w:b/>
                <w:spacing w:val="6"/>
                <w:sz w:val="20"/>
                <w:szCs w:val="20"/>
                <w:u w:val="none"/>
              </w:rPr>
              <w:t>服务内容</w:t>
            </w:r>
          </w:p>
        </w:tc>
        <w:tc>
          <w:tcPr>
            <w:tcW w:w="1912"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pStyle w:val="52"/>
              <w:keepNext w:val="0"/>
              <w:keepLines w:val="0"/>
              <w:suppressLineNumbers w:val="0"/>
              <w:spacing w:before="0" w:beforeLines="0" w:beforeAutospacing="0" w:after="0" w:afterLines="0" w:afterAutospacing="0" w:line="289" w:lineRule="auto"/>
              <w:ind w:left="0" w:right="0" w:hanging="71"/>
              <w:jc w:val="center"/>
              <w:rPr>
                <w:rFonts w:hint="default"/>
                <w:b/>
                <w:sz w:val="20"/>
                <w:szCs w:val="20"/>
                <w:u w:val="none"/>
              </w:rPr>
            </w:pPr>
            <w:r>
              <w:rPr>
                <w:rFonts w:hint="default"/>
                <w:b/>
                <w:sz w:val="20"/>
                <w:szCs w:val="20"/>
                <w:u w:val="none"/>
              </w:rPr>
              <w:t>日均总辅导</w:t>
            </w:r>
          </w:p>
          <w:p>
            <w:pPr>
              <w:pStyle w:val="52"/>
              <w:keepNext w:val="0"/>
              <w:keepLines w:val="0"/>
              <w:suppressLineNumbers w:val="0"/>
              <w:spacing w:before="0" w:beforeLines="0" w:beforeAutospacing="0" w:after="0" w:afterLines="0" w:afterAutospacing="0" w:line="289" w:lineRule="auto"/>
              <w:ind w:left="0" w:right="0" w:hanging="71"/>
              <w:jc w:val="center"/>
              <w:rPr>
                <w:rFonts w:hint="default"/>
                <w:sz w:val="20"/>
                <w:szCs w:val="20"/>
                <w:u w:val="none"/>
              </w:rPr>
            </w:pPr>
            <w:r>
              <w:rPr>
                <w:rFonts w:hint="default"/>
                <w:b/>
                <w:sz w:val="20"/>
                <w:szCs w:val="20"/>
                <w:u w:val="none"/>
              </w:rPr>
              <w:t>人</w:t>
            </w:r>
            <w:r>
              <w:rPr>
                <w:rFonts w:hint="default"/>
                <w:b/>
                <w:spacing w:val="4"/>
                <w:sz w:val="20"/>
                <w:szCs w:val="20"/>
                <w:u w:val="none"/>
              </w:rPr>
              <w:t>数（人次）</w:t>
            </w:r>
          </w:p>
        </w:tc>
        <w:tc>
          <w:tcPr>
            <w:tcW w:w="1588"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pStyle w:val="52"/>
              <w:keepNext w:val="0"/>
              <w:keepLines w:val="0"/>
              <w:suppressLineNumbers w:val="0"/>
              <w:spacing w:before="0" w:beforeLines="0" w:beforeAutospacing="0" w:after="0" w:afterLines="0" w:afterAutospacing="0" w:line="228" w:lineRule="auto"/>
              <w:ind w:left="0" w:right="0"/>
              <w:jc w:val="center"/>
              <w:rPr>
                <w:rFonts w:hint="default"/>
                <w:sz w:val="20"/>
                <w:szCs w:val="20"/>
                <w:u w:val="none"/>
              </w:rPr>
            </w:pPr>
            <w:r>
              <w:rPr>
                <w:rFonts w:hint="default"/>
                <w:b/>
                <w:spacing w:val="6"/>
                <w:sz w:val="20"/>
                <w:szCs w:val="20"/>
                <w:u w:val="none"/>
              </w:rPr>
              <w:t>人日均服务量（人）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1156"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65" w:beforeLines="0" w:beforeAutospacing="0" w:after="0" w:afterLines="0" w:afterAutospacing="0" w:line="270" w:lineRule="exact"/>
              <w:ind w:left="546" w:right="0"/>
              <w:jc w:val="both"/>
              <w:textAlignment w:val="center"/>
              <w:rPr>
                <w:rFonts w:hint="default"/>
                <w:sz w:val="20"/>
                <w:szCs w:val="20"/>
                <w:highlight w:val="yellow"/>
                <w:u w:val="none"/>
              </w:rPr>
            </w:pPr>
            <w:r>
              <w:rPr>
                <w:rFonts w:hint="eastAsia" w:ascii="宋体" w:hAnsi="宋体" w:eastAsia="宋体" w:cs="宋体"/>
                <w:i w:val="0"/>
                <w:color w:val="000000"/>
                <w:kern w:val="0"/>
                <w:sz w:val="22"/>
                <w:szCs w:val="22"/>
                <w:u w:val="none"/>
                <w:lang w:val="en-US" w:eastAsia="zh-CN" w:bidi="ar"/>
              </w:rPr>
              <w:t>1</w:t>
            </w:r>
          </w:p>
        </w:tc>
        <w:tc>
          <w:tcPr>
            <w:tcW w:w="3902"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65" w:beforeLines="0" w:beforeAutospacing="0" w:after="0" w:afterLines="0" w:afterAutospacing="0" w:line="228" w:lineRule="auto"/>
              <w:ind w:left="0" w:right="0" w:firstLine="1540" w:firstLineChars="700"/>
              <w:jc w:val="both"/>
              <w:textAlignment w:val="center"/>
              <w:rPr>
                <w:rFonts w:hint="default"/>
                <w:sz w:val="20"/>
                <w:szCs w:val="20"/>
                <w:highlight w:val="yellow"/>
                <w:u w:val="none"/>
              </w:rPr>
            </w:pPr>
            <w:r>
              <w:rPr>
                <w:rFonts w:hint="eastAsia" w:ascii="宋体" w:hAnsi="宋体" w:eastAsia="宋体" w:cs="宋体"/>
                <w:i w:val="0"/>
                <w:color w:val="000000"/>
                <w:kern w:val="0"/>
                <w:sz w:val="22"/>
                <w:szCs w:val="22"/>
                <w:u w:val="none"/>
                <w:lang w:val="en-US" w:eastAsia="zh-CN" w:bidi="ar"/>
              </w:rPr>
              <w:t>导税服务</w:t>
            </w:r>
          </w:p>
        </w:tc>
        <w:tc>
          <w:tcPr>
            <w:tcW w:w="1912"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65" w:beforeLines="0" w:beforeAutospacing="0" w:after="0" w:afterLines="0" w:afterAutospacing="0" w:line="269" w:lineRule="exact"/>
              <w:ind w:left="692" w:right="0" w:firstLine="110" w:firstLineChars="50"/>
              <w:jc w:val="both"/>
              <w:textAlignment w:val="center"/>
              <w:rPr>
                <w:rFonts w:hint="default"/>
                <w:sz w:val="20"/>
                <w:szCs w:val="20"/>
                <w:highlight w:val="yellow"/>
                <w:u w:val="none"/>
              </w:rPr>
            </w:pPr>
            <w:r>
              <w:rPr>
                <w:rFonts w:hint="eastAsia" w:ascii="宋体" w:hAnsi="宋体" w:eastAsia="宋体" w:cs="宋体"/>
                <w:i w:val="0"/>
                <w:color w:val="000000"/>
                <w:kern w:val="0"/>
                <w:sz w:val="22"/>
                <w:szCs w:val="22"/>
                <w:u w:val="none"/>
                <w:lang w:val="en-US" w:eastAsia="zh-CN" w:bidi="ar"/>
              </w:rPr>
              <w:t>477</w:t>
            </w:r>
          </w:p>
        </w:tc>
        <w:tc>
          <w:tcPr>
            <w:tcW w:w="1588"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65" w:beforeLines="0" w:beforeAutospacing="0" w:after="0" w:afterLines="0" w:afterAutospacing="0" w:line="269" w:lineRule="exact"/>
              <w:ind w:left="0" w:right="0" w:firstLine="660" w:firstLineChars="300"/>
              <w:jc w:val="both"/>
              <w:textAlignment w:val="center"/>
              <w:rPr>
                <w:rFonts w:hint="default"/>
                <w:sz w:val="20"/>
                <w:szCs w:val="20"/>
                <w:highlight w:val="yellow"/>
                <w:u w:val="none"/>
              </w:rPr>
            </w:pPr>
            <w:r>
              <w:rPr>
                <w:rFonts w:hint="eastAsia" w:ascii="宋体" w:hAnsi="宋体" w:eastAsia="宋体" w:cs="宋体"/>
                <w:i w:val="0"/>
                <w:color w:val="000000"/>
                <w:kern w:val="0"/>
                <w:sz w:val="22"/>
                <w:szCs w:val="22"/>
                <w:u w:val="none"/>
                <w:lang w:val="en-US" w:eastAsia="zh-CN" w:bidi="ar"/>
              </w:rPr>
              <w:t>53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1156"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0" w:beforeAutospacing="0" w:after="0" w:afterAutospacing="0"/>
              <w:ind w:left="0" w:right="0"/>
              <w:jc w:val="center"/>
              <w:textAlignment w:val="center"/>
              <w:rPr>
                <w:rFonts w:hint="default"/>
                <w:position w:val="1"/>
                <w:sz w:val="20"/>
                <w:szCs w:val="20"/>
                <w:highlight w:val="yellow"/>
                <w:u w:val="none"/>
              </w:rPr>
            </w:pPr>
            <w:r>
              <w:rPr>
                <w:rFonts w:hint="eastAsia" w:ascii="宋体" w:hAnsi="宋体" w:eastAsia="宋体" w:cs="宋体"/>
                <w:i w:val="0"/>
                <w:color w:val="000000"/>
                <w:kern w:val="0"/>
                <w:sz w:val="22"/>
                <w:szCs w:val="22"/>
                <w:u w:val="none"/>
                <w:lang w:val="en-US" w:eastAsia="zh-CN" w:bidi="ar"/>
              </w:rPr>
              <w:t>2</w:t>
            </w:r>
          </w:p>
        </w:tc>
        <w:tc>
          <w:tcPr>
            <w:tcW w:w="3902"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0" w:beforeAutospacing="0" w:after="0" w:afterAutospacing="0"/>
              <w:ind w:left="0" w:right="0"/>
              <w:jc w:val="center"/>
              <w:textAlignment w:val="center"/>
              <w:rPr>
                <w:rFonts w:hint="default"/>
                <w:spacing w:val="5"/>
                <w:sz w:val="20"/>
                <w:szCs w:val="20"/>
                <w:highlight w:val="yellow"/>
                <w:u w:val="none"/>
              </w:rPr>
            </w:pPr>
            <w:r>
              <w:rPr>
                <w:rFonts w:hint="eastAsia" w:ascii="宋体" w:hAnsi="宋体" w:eastAsia="宋体" w:cs="宋体"/>
                <w:i w:val="0"/>
                <w:color w:val="000000"/>
                <w:kern w:val="0"/>
                <w:sz w:val="22"/>
                <w:szCs w:val="22"/>
                <w:u w:val="none"/>
                <w:lang w:val="en-US" w:eastAsia="zh-CN" w:bidi="ar"/>
              </w:rPr>
              <w:t>税费辅导服务</w:t>
            </w:r>
          </w:p>
        </w:tc>
        <w:tc>
          <w:tcPr>
            <w:tcW w:w="1912"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0" w:beforeAutospacing="0" w:after="0" w:afterAutospacing="0"/>
              <w:ind w:left="0" w:right="0"/>
              <w:jc w:val="center"/>
              <w:textAlignment w:val="center"/>
              <w:rPr>
                <w:rFonts w:hint="default"/>
                <w:spacing w:val="1"/>
                <w:position w:val="1"/>
                <w:sz w:val="20"/>
                <w:szCs w:val="20"/>
                <w:highlight w:val="yellow"/>
                <w:u w:val="none"/>
              </w:rPr>
            </w:pPr>
            <w:r>
              <w:rPr>
                <w:rFonts w:hint="eastAsia" w:ascii="宋体" w:hAnsi="宋体" w:eastAsia="宋体" w:cs="宋体"/>
                <w:i w:val="0"/>
                <w:color w:val="000000"/>
                <w:kern w:val="0"/>
                <w:sz w:val="22"/>
                <w:szCs w:val="22"/>
                <w:u w:val="none"/>
                <w:lang w:val="en-US" w:eastAsia="zh-CN" w:bidi="ar"/>
              </w:rPr>
              <w:t>39</w:t>
            </w:r>
          </w:p>
        </w:tc>
        <w:tc>
          <w:tcPr>
            <w:tcW w:w="1588"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0" w:beforeAutospacing="0" w:after="0" w:afterAutospacing="0"/>
              <w:ind w:left="0" w:right="0"/>
              <w:jc w:val="center"/>
              <w:textAlignment w:val="center"/>
              <w:rPr>
                <w:rFonts w:hint="default"/>
                <w:spacing w:val="1"/>
                <w:position w:val="1"/>
                <w:sz w:val="20"/>
                <w:szCs w:val="20"/>
                <w:highlight w:val="yellow"/>
                <w:u w:val="none"/>
              </w:rPr>
            </w:pPr>
            <w:r>
              <w:rPr>
                <w:rFonts w:hint="eastAsia" w:ascii="宋体" w:hAnsi="宋体" w:eastAsia="宋体" w:cs="宋体"/>
                <w:i w:val="0"/>
                <w:color w:val="000000"/>
                <w:kern w:val="0"/>
                <w:sz w:val="22"/>
                <w:szCs w:val="22"/>
                <w:u w:val="none"/>
                <w:lang w:val="en-US" w:eastAsia="zh-CN" w:bidi="ar"/>
              </w:rPr>
              <w:t>13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1156"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0" w:beforeAutospacing="0" w:after="0" w:afterAutospacing="0"/>
              <w:ind w:left="0" w:right="0"/>
              <w:jc w:val="center"/>
              <w:textAlignment w:val="center"/>
              <w:rPr>
                <w:rFonts w:hint="default"/>
                <w:position w:val="1"/>
                <w:sz w:val="20"/>
                <w:szCs w:val="20"/>
                <w:highlight w:val="yellow"/>
                <w:u w:val="none"/>
              </w:rPr>
            </w:pPr>
            <w:r>
              <w:rPr>
                <w:rFonts w:hint="eastAsia" w:ascii="宋体" w:hAnsi="宋体" w:eastAsia="宋体" w:cs="宋体"/>
                <w:i w:val="0"/>
                <w:color w:val="000000"/>
                <w:kern w:val="0"/>
                <w:sz w:val="22"/>
                <w:szCs w:val="22"/>
                <w:u w:val="none"/>
                <w:lang w:val="en-US" w:eastAsia="zh-CN" w:bidi="ar"/>
              </w:rPr>
              <w:t>3</w:t>
            </w:r>
          </w:p>
        </w:tc>
        <w:tc>
          <w:tcPr>
            <w:tcW w:w="3902"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0" w:beforeAutospacing="0" w:after="0" w:afterAutospacing="0"/>
              <w:ind w:left="0" w:right="0"/>
              <w:jc w:val="center"/>
              <w:textAlignment w:val="center"/>
              <w:rPr>
                <w:rFonts w:hint="default"/>
                <w:spacing w:val="5"/>
                <w:sz w:val="20"/>
                <w:szCs w:val="20"/>
                <w:highlight w:val="yellow"/>
                <w:u w:val="none"/>
              </w:rPr>
            </w:pPr>
            <w:r>
              <w:rPr>
                <w:rFonts w:hint="eastAsia" w:ascii="宋体" w:hAnsi="宋体" w:eastAsia="宋体" w:cs="宋体"/>
                <w:i w:val="0"/>
                <w:color w:val="000000"/>
                <w:kern w:val="0"/>
                <w:sz w:val="22"/>
                <w:szCs w:val="22"/>
                <w:u w:val="none"/>
                <w:lang w:val="en-US" w:eastAsia="zh-CN" w:bidi="ar"/>
              </w:rPr>
              <w:t>热线咨询服务</w:t>
            </w:r>
          </w:p>
        </w:tc>
        <w:tc>
          <w:tcPr>
            <w:tcW w:w="1912"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0" w:beforeAutospacing="0" w:after="0" w:afterAutospacing="0"/>
              <w:ind w:left="0" w:right="0"/>
              <w:jc w:val="center"/>
              <w:textAlignment w:val="center"/>
              <w:rPr>
                <w:rFonts w:hint="default"/>
                <w:spacing w:val="1"/>
                <w:position w:val="1"/>
                <w:sz w:val="20"/>
                <w:szCs w:val="20"/>
                <w:highlight w:val="yellow"/>
                <w:u w:val="none"/>
              </w:rPr>
            </w:pPr>
            <w:r>
              <w:rPr>
                <w:rFonts w:hint="eastAsia" w:ascii="宋体" w:hAnsi="宋体" w:eastAsia="宋体" w:cs="宋体"/>
                <w:i w:val="0"/>
                <w:color w:val="000000"/>
                <w:kern w:val="0"/>
                <w:sz w:val="22"/>
                <w:szCs w:val="22"/>
                <w:u w:val="none"/>
                <w:lang w:val="en-US" w:eastAsia="zh-CN" w:bidi="ar"/>
              </w:rPr>
              <w:t>80</w:t>
            </w:r>
          </w:p>
        </w:tc>
        <w:tc>
          <w:tcPr>
            <w:tcW w:w="1588"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0" w:beforeAutospacing="0" w:after="0" w:afterAutospacing="0"/>
              <w:ind w:left="0" w:right="0"/>
              <w:jc w:val="center"/>
              <w:textAlignment w:val="center"/>
              <w:rPr>
                <w:rFonts w:hint="default"/>
                <w:spacing w:val="1"/>
                <w:position w:val="1"/>
                <w:sz w:val="20"/>
                <w:szCs w:val="20"/>
                <w:highlight w:val="yellow"/>
                <w:u w:val="none"/>
              </w:rPr>
            </w:pPr>
            <w:r>
              <w:rPr>
                <w:rFonts w:hint="eastAsia" w:ascii="宋体" w:hAnsi="宋体" w:eastAsia="宋体" w:cs="宋体"/>
                <w:i w:val="0"/>
                <w:color w:val="000000"/>
                <w:kern w:val="0"/>
                <w:sz w:val="22"/>
                <w:szCs w:val="22"/>
                <w:u w:val="none"/>
                <w:lang w:val="en-US" w:eastAsia="zh-CN" w:bidi="ar"/>
              </w:rPr>
              <w:t>40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1156"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0" w:beforeAutospacing="0" w:after="0" w:afterAutospacing="0"/>
              <w:ind w:left="0" w:right="0"/>
              <w:jc w:val="center"/>
              <w:textAlignment w:val="center"/>
              <w:rPr>
                <w:rFonts w:hint="default"/>
                <w:position w:val="1"/>
                <w:sz w:val="20"/>
                <w:szCs w:val="20"/>
                <w:highlight w:val="yellow"/>
                <w:u w:val="none"/>
              </w:rPr>
            </w:pPr>
            <w:r>
              <w:rPr>
                <w:rFonts w:hint="eastAsia" w:ascii="宋体" w:hAnsi="宋体" w:eastAsia="宋体" w:cs="宋体"/>
                <w:i w:val="0"/>
                <w:color w:val="000000"/>
                <w:kern w:val="0"/>
                <w:sz w:val="22"/>
                <w:szCs w:val="22"/>
                <w:u w:val="none"/>
                <w:lang w:val="en-US" w:eastAsia="zh-CN" w:bidi="ar"/>
              </w:rPr>
              <w:t>4</w:t>
            </w:r>
          </w:p>
        </w:tc>
        <w:tc>
          <w:tcPr>
            <w:tcW w:w="3902"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0" w:beforeAutospacing="0" w:after="0" w:afterAutospacing="0"/>
              <w:ind w:left="0" w:right="0"/>
              <w:jc w:val="center"/>
              <w:textAlignment w:val="center"/>
              <w:rPr>
                <w:rFonts w:hint="default"/>
                <w:spacing w:val="5"/>
                <w:sz w:val="20"/>
                <w:szCs w:val="20"/>
                <w:highlight w:val="yellow"/>
                <w:u w:val="none"/>
              </w:rPr>
            </w:pPr>
            <w:r>
              <w:rPr>
                <w:rFonts w:hint="eastAsia" w:ascii="宋体" w:hAnsi="宋体" w:eastAsia="宋体" w:cs="宋体"/>
                <w:i w:val="0"/>
                <w:color w:val="000000"/>
                <w:kern w:val="0"/>
                <w:sz w:val="22"/>
                <w:szCs w:val="22"/>
                <w:u w:val="none"/>
                <w:lang w:val="en-US" w:eastAsia="zh-CN" w:bidi="ar"/>
              </w:rPr>
              <w:t>涉税费业务线上辅助办理服务</w:t>
            </w:r>
          </w:p>
        </w:tc>
        <w:tc>
          <w:tcPr>
            <w:tcW w:w="1912"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0" w:beforeAutospacing="0" w:after="0" w:afterAutospacing="0"/>
              <w:ind w:left="0" w:right="0"/>
              <w:jc w:val="center"/>
              <w:textAlignment w:val="center"/>
              <w:rPr>
                <w:rFonts w:hint="default"/>
                <w:spacing w:val="1"/>
                <w:position w:val="1"/>
                <w:sz w:val="20"/>
                <w:szCs w:val="20"/>
                <w:highlight w:val="yellow"/>
                <w:u w:val="none"/>
              </w:rPr>
            </w:pPr>
            <w:r>
              <w:rPr>
                <w:rFonts w:hint="eastAsia" w:ascii="宋体" w:hAnsi="宋体" w:eastAsia="宋体" w:cs="宋体"/>
                <w:i w:val="0"/>
                <w:color w:val="000000"/>
                <w:kern w:val="0"/>
                <w:sz w:val="22"/>
                <w:szCs w:val="22"/>
                <w:u w:val="none"/>
                <w:lang w:val="en-US" w:eastAsia="zh-CN" w:bidi="ar"/>
              </w:rPr>
              <w:t>150</w:t>
            </w:r>
          </w:p>
        </w:tc>
        <w:tc>
          <w:tcPr>
            <w:tcW w:w="1588"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0" w:beforeAutospacing="0" w:after="0" w:afterAutospacing="0"/>
              <w:ind w:left="0" w:right="0"/>
              <w:jc w:val="center"/>
              <w:textAlignment w:val="center"/>
              <w:rPr>
                <w:rFonts w:hint="default"/>
                <w:spacing w:val="1"/>
                <w:position w:val="1"/>
                <w:sz w:val="20"/>
                <w:szCs w:val="20"/>
                <w:highlight w:val="yellow"/>
                <w:u w:val="none"/>
              </w:rPr>
            </w:pPr>
            <w:r>
              <w:rPr>
                <w:rFonts w:hint="eastAsia" w:ascii="宋体" w:hAnsi="宋体" w:eastAsia="宋体" w:cs="宋体"/>
                <w:i w:val="0"/>
                <w:color w:val="000000"/>
                <w:kern w:val="0"/>
                <w:sz w:val="22"/>
                <w:szCs w:val="22"/>
                <w:u w:val="none"/>
                <w:lang w:val="en-US" w:eastAsia="zh-CN" w:bidi="ar"/>
              </w:rPr>
              <w:t>30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1156"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0" w:beforeAutospacing="0" w:after="0" w:afterAutospacing="0"/>
              <w:ind w:left="0" w:right="0"/>
              <w:jc w:val="center"/>
              <w:textAlignment w:val="center"/>
              <w:rPr>
                <w:rFonts w:hint="default"/>
                <w:position w:val="1"/>
                <w:sz w:val="20"/>
                <w:szCs w:val="20"/>
                <w:highlight w:val="yellow"/>
                <w:u w:val="none"/>
              </w:rPr>
            </w:pPr>
            <w:r>
              <w:rPr>
                <w:rFonts w:hint="eastAsia" w:ascii="宋体" w:hAnsi="宋体" w:eastAsia="宋体" w:cs="宋体"/>
                <w:i w:val="0"/>
                <w:color w:val="000000"/>
                <w:kern w:val="0"/>
                <w:sz w:val="22"/>
                <w:szCs w:val="22"/>
                <w:u w:val="none"/>
                <w:lang w:val="en-US" w:eastAsia="zh-CN" w:bidi="ar"/>
              </w:rPr>
              <w:t>5</w:t>
            </w:r>
          </w:p>
        </w:tc>
        <w:tc>
          <w:tcPr>
            <w:tcW w:w="3902"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0" w:beforeAutospacing="0" w:after="0" w:afterAutospacing="0"/>
              <w:ind w:left="0" w:right="0"/>
              <w:jc w:val="center"/>
              <w:textAlignment w:val="center"/>
              <w:rPr>
                <w:rFonts w:hint="default"/>
                <w:spacing w:val="5"/>
                <w:sz w:val="20"/>
                <w:szCs w:val="20"/>
                <w:highlight w:val="yellow"/>
                <w:u w:val="none"/>
              </w:rPr>
            </w:pPr>
            <w:r>
              <w:rPr>
                <w:rFonts w:hint="eastAsia" w:ascii="宋体" w:hAnsi="宋体" w:eastAsia="宋体" w:cs="宋体"/>
                <w:i w:val="0"/>
                <w:color w:val="000000"/>
                <w:kern w:val="0"/>
                <w:sz w:val="22"/>
                <w:szCs w:val="22"/>
                <w:u w:val="none"/>
                <w:lang w:val="en-US" w:eastAsia="zh-CN" w:bidi="ar"/>
              </w:rPr>
              <w:t>涉税费业务线下辅助办理服务</w:t>
            </w:r>
          </w:p>
        </w:tc>
        <w:tc>
          <w:tcPr>
            <w:tcW w:w="1912"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0" w:beforeAutospacing="0" w:after="0" w:afterAutospacing="0"/>
              <w:ind w:left="0" w:right="0"/>
              <w:jc w:val="center"/>
              <w:textAlignment w:val="center"/>
              <w:rPr>
                <w:rFonts w:hint="default"/>
                <w:spacing w:val="1"/>
                <w:position w:val="1"/>
                <w:sz w:val="20"/>
                <w:szCs w:val="20"/>
                <w:highlight w:val="yellow"/>
                <w:u w:val="none"/>
              </w:rPr>
            </w:pPr>
            <w:r>
              <w:rPr>
                <w:rFonts w:hint="eastAsia" w:ascii="宋体" w:hAnsi="宋体" w:eastAsia="宋体" w:cs="宋体"/>
                <w:i w:val="0"/>
                <w:color w:val="000000"/>
                <w:kern w:val="0"/>
                <w:sz w:val="22"/>
                <w:szCs w:val="22"/>
                <w:u w:val="none"/>
                <w:lang w:val="en-US" w:eastAsia="zh-CN" w:bidi="ar"/>
              </w:rPr>
              <w:t>697</w:t>
            </w:r>
          </w:p>
        </w:tc>
        <w:tc>
          <w:tcPr>
            <w:tcW w:w="1588"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0" w:beforeAutospacing="0" w:after="0" w:afterAutospacing="0"/>
              <w:ind w:left="0" w:right="0"/>
              <w:jc w:val="center"/>
              <w:textAlignment w:val="center"/>
              <w:rPr>
                <w:rFonts w:hint="default"/>
                <w:spacing w:val="1"/>
                <w:position w:val="1"/>
                <w:sz w:val="20"/>
                <w:szCs w:val="20"/>
                <w:highlight w:val="yellow"/>
                <w:u w:val="none"/>
              </w:rPr>
            </w:pPr>
            <w:r>
              <w:rPr>
                <w:rFonts w:hint="eastAsia" w:ascii="宋体" w:hAnsi="宋体" w:eastAsia="宋体" w:cs="宋体"/>
                <w:i w:val="0"/>
                <w:color w:val="000000"/>
                <w:kern w:val="0"/>
                <w:sz w:val="22"/>
                <w:szCs w:val="22"/>
                <w:u w:val="none"/>
                <w:lang w:val="en-US" w:eastAsia="zh-CN" w:bidi="ar"/>
              </w:rPr>
              <w:t>17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1156"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0" w:beforeAutospacing="0" w:after="0" w:afterAutospacing="0"/>
              <w:ind w:left="0" w:right="0"/>
              <w:jc w:val="center"/>
              <w:textAlignment w:val="center"/>
              <w:rPr>
                <w:rFonts w:hint="default"/>
                <w:position w:val="1"/>
                <w:sz w:val="20"/>
                <w:szCs w:val="20"/>
                <w:highlight w:val="yellow"/>
                <w:u w:val="none"/>
              </w:rPr>
            </w:pPr>
            <w:r>
              <w:rPr>
                <w:rFonts w:hint="eastAsia" w:ascii="宋体" w:hAnsi="宋体" w:eastAsia="宋体" w:cs="宋体"/>
                <w:i w:val="0"/>
                <w:color w:val="000000"/>
                <w:kern w:val="0"/>
                <w:sz w:val="22"/>
                <w:szCs w:val="22"/>
                <w:u w:val="none"/>
                <w:lang w:val="en-US" w:eastAsia="zh-CN" w:bidi="ar"/>
              </w:rPr>
              <w:t>6</w:t>
            </w:r>
          </w:p>
        </w:tc>
        <w:tc>
          <w:tcPr>
            <w:tcW w:w="3902"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0" w:beforeAutospacing="0" w:after="0" w:afterAutospacing="0"/>
              <w:ind w:left="0" w:right="0"/>
              <w:jc w:val="center"/>
              <w:textAlignment w:val="center"/>
              <w:rPr>
                <w:rFonts w:hint="default"/>
                <w:spacing w:val="5"/>
                <w:sz w:val="20"/>
                <w:szCs w:val="20"/>
                <w:highlight w:val="yellow"/>
                <w:u w:val="none"/>
              </w:rPr>
            </w:pPr>
            <w:r>
              <w:rPr>
                <w:rFonts w:hint="eastAsia" w:ascii="宋体" w:hAnsi="宋体" w:eastAsia="宋体" w:cs="宋体"/>
                <w:i w:val="0"/>
                <w:color w:val="000000"/>
                <w:kern w:val="0"/>
                <w:sz w:val="22"/>
                <w:szCs w:val="22"/>
                <w:u w:val="none"/>
                <w:lang w:val="en-US" w:eastAsia="zh-CN" w:bidi="ar"/>
              </w:rPr>
              <w:t>文书资料整理传递归档服务</w:t>
            </w:r>
          </w:p>
        </w:tc>
        <w:tc>
          <w:tcPr>
            <w:tcW w:w="1912"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0" w:beforeAutospacing="0" w:after="0" w:afterAutospacing="0"/>
              <w:ind w:left="0" w:right="0"/>
              <w:jc w:val="center"/>
              <w:textAlignment w:val="center"/>
              <w:rPr>
                <w:rFonts w:hint="default"/>
                <w:spacing w:val="1"/>
                <w:position w:val="1"/>
                <w:sz w:val="20"/>
                <w:szCs w:val="20"/>
                <w:highlight w:val="yellow"/>
                <w:u w:val="none"/>
              </w:rPr>
            </w:pPr>
            <w:r>
              <w:rPr>
                <w:rFonts w:hint="eastAsia" w:ascii="宋体" w:hAnsi="宋体" w:eastAsia="宋体" w:cs="宋体"/>
                <w:i w:val="0"/>
                <w:color w:val="000000"/>
                <w:kern w:val="0"/>
                <w:sz w:val="22"/>
                <w:szCs w:val="22"/>
                <w:u w:val="none"/>
                <w:lang w:val="en-US" w:eastAsia="zh-CN" w:bidi="ar"/>
              </w:rPr>
              <w:t>248</w:t>
            </w:r>
          </w:p>
        </w:tc>
        <w:tc>
          <w:tcPr>
            <w:tcW w:w="1588" w:type="dxa"/>
            <w:tcBorders>
              <w:top w:val="single" w:color="000000" w:sz="2" w:space="0"/>
              <w:left w:val="single" w:color="000000" w:sz="2" w:space="0"/>
              <w:bottom w:val="single" w:color="000000" w:sz="2" w:space="0"/>
              <w:right w:val="single" w:color="000000" w:sz="2" w:space="0"/>
              <w:tl2br w:val="nil"/>
              <w:tr2bl w:val="nil"/>
            </w:tcBorders>
            <w:noWrap w:val="0"/>
            <w:vAlign w:val="center"/>
          </w:tcPr>
          <w:p>
            <w:pPr>
              <w:keepNext w:val="0"/>
              <w:keepLines w:val="0"/>
              <w:widowControl/>
              <w:suppressLineNumbers w:val="0"/>
              <w:spacing w:before="0" w:beforeAutospacing="0" w:after="0" w:afterAutospacing="0"/>
              <w:ind w:left="0" w:right="0"/>
              <w:jc w:val="center"/>
              <w:textAlignment w:val="center"/>
              <w:rPr>
                <w:rFonts w:hint="default"/>
                <w:spacing w:val="1"/>
                <w:position w:val="1"/>
                <w:sz w:val="20"/>
                <w:szCs w:val="20"/>
                <w:highlight w:val="yellow"/>
                <w:u w:val="none"/>
              </w:rPr>
            </w:pPr>
            <w:r>
              <w:rPr>
                <w:rFonts w:hint="eastAsia" w:ascii="宋体" w:hAnsi="宋体" w:eastAsia="宋体" w:cs="宋体"/>
                <w:i w:val="0"/>
                <w:color w:val="000000"/>
                <w:kern w:val="0"/>
                <w:sz w:val="22"/>
                <w:szCs w:val="22"/>
                <w:u w:val="none"/>
                <w:lang w:val="en-US" w:eastAsia="zh-CN" w:bidi="ar"/>
              </w:rPr>
              <w:t>31</w:t>
            </w:r>
          </w:p>
        </w:tc>
      </w:tr>
    </w:tbl>
    <w:p>
      <w:pPr>
        <w:spacing w:line="360" w:lineRule="auto"/>
        <w:jc w:val="center"/>
        <w:outlineLvl w:val="0"/>
        <w:rPr>
          <w:rFonts w:hint="eastAsia" w:ascii="宋体" w:hAnsi="宋体" w:eastAsia="宋体" w:cs="宋体"/>
          <w:b/>
          <w:bCs/>
          <w:kern w:val="36"/>
          <w:sz w:val="21"/>
          <w:szCs w:val="21"/>
          <w:lang w:eastAsia="en-US"/>
        </w:rPr>
      </w:pPr>
      <w:r>
        <w:rPr>
          <w:rFonts w:hint="eastAsia" w:ascii="宋体" w:hAnsi="宋体" w:eastAsia="宋体" w:cs="宋体"/>
          <w:b/>
          <w:bCs/>
          <w:kern w:val="36"/>
          <w:sz w:val="21"/>
          <w:szCs w:val="21"/>
          <w:lang w:eastAsia="en-US"/>
        </w:rPr>
        <w:t>4人员要求</w:t>
      </w:r>
      <w:bookmarkEnd w:id="140"/>
      <w:bookmarkEnd w:id="141"/>
      <w:bookmarkEnd w:id="142"/>
    </w:p>
    <w:p>
      <w:pPr>
        <w:widowControl/>
        <w:spacing w:line="360" w:lineRule="auto"/>
        <w:jc w:val="left"/>
        <w:outlineLvl w:val="0"/>
        <w:rPr>
          <w:rFonts w:hint="eastAsia" w:ascii="宋体" w:hAnsi="宋体" w:eastAsia="宋体" w:cs="宋体"/>
          <w:b/>
          <w:bCs/>
          <w:kern w:val="0"/>
          <w:sz w:val="21"/>
          <w:szCs w:val="21"/>
          <w:lang w:eastAsia="en-US"/>
        </w:rPr>
      </w:pPr>
      <w:bookmarkStart w:id="143" w:name="_Toc12109"/>
      <w:bookmarkStart w:id="144" w:name="_Toc256000020"/>
      <w:bookmarkStart w:id="145" w:name="_Toc31346"/>
      <w:r>
        <w:rPr>
          <w:rFonts w:hint="eastAsia" w:ascii="宋体" w:hAnsi="宋体" w:eastAsia="宋体" w:cs="宋体"/>
          <w:b/>
          <w:bCs/>
          <w:kern w:val="0"/>
          <w:sz w:val="21"/>
          <w:szCs w:val="21"/>
          <w:lang w:eastAsia="en-US"/>
        </w:rPr>
        <w:t>4.1总体要求</w:t>
      </w:r>
      <w:bookmarkEnd w:id="143"/>
      <w:bookmarkEnd w:id="144"/>
      <w:bookmarkEnd w:id="145"/>
    </w:p>
    <w:p>
      <w:pPr>
        <w:widowControl/>
        <w:spacing w:line="360" w:lineRule="auto"/>
        <w:ind w:firstLine="420" w:firstLineChars="200"/>
        <w:jc w:val="left"/>
        <w:outlineLvl w:val="0"/>
        <w:rPr>
          <w:rFonts w:hint="eastAsia" w:ascii="宋体" w:hAnsi="宋体" w:eastAsia="宋体" w:cs="宋体"/>
          <w:b w:val="0"/>
          <w:bCs w:val="0"/>
          <w:kern w:val="0"/>
          <w:sz w:val="21"/>
          <w:szCs w:val="21"/>
          <w:lang w:eastAsia="zh-CN"/>
        </w:rPr>
      </w:pPr>
      <w:r>
        <w:rPr>
          <w:rFonts w:hint="eastAsia" w:ascii="宋体" w:hAnsi="宋体" w:eastAsia="宋体" w:cs="宋体"/>
          <w:b w:val="0"/>
          <w:bCs w:val="0"/>
          <w:kern w:val="0"/>
          <w:sz w:val="21"/>
          <w:szCs w:val="21"/>
          <w:lang w:eastAsia="zh-CN"/>
        </w:rPr>
        <w:t>本项目需要提供服务团队。</w:t>
      </w:r>
    </w:p>
    <w:p>
      <w:pPr>
        <w:widowControl/>
        <w:spacing w:line="360" w:lineRule="auto"/>
        <w:jc w:val="left"/>
        <w:outlineLvl w:val="0"/>
        <w:rPr>
          <w:rFonts w:hint="eastAsia" w:ascii="宋体" w:hAnsi="宋体" w:eastAsia="宋体" w:cs="宋体"/>
          <w:b/>
          <w:bCs/>
          <w:kern w:val="0"/>
          <w:sz w:val="21"/>
          <w:szCs w:val="21"/>
          <w:lang w:eastAsia="en-US"/>
        </w:rPr>
      </w:pPr>
      <w:bookmarkStart w:id="146" w:name="_Toc13775"/>
      <w:bookmarkStart w:id="147" w:name="_Toc15336"/>
      <w:r>
        <w:rPr>
          <w:rFonts w:hint="eastAsia" w:ascii="宋体" w:hAnsi="宋体" w:eastAsia="宋体" w:cs="宋体"/>
          <w:b/>
          <w:bCs/>
          <w:kern w:val="0"/>
          <w:sz w:val="21"/>
          <w:szCs w:val="21"/>
          <w:lang w:eastAsia="en-US"/>
        </w:rPr>
        <w:t>4.2管理团队</w:t>
      </w:r>
    </w:p>
    <w:p>
      <w:pPr>
        <w:widowControl/>
        <w:spacing w:line="360" w:lineRule="auto"/>
        <w:jc w:val="left"/>
        <w:outlineLvl w:val="0"/>
        <w:rPr>
          <w:rFonts w:hint="eastAsia" w:ascii="宋体" w:hAnsi="宋体" w:eastAsia="宋体" w:cs="宋体"/>
          <w:b/>
          <w:bCs/>
          <w:kern w:val="0"/>
          <w:sz w:val="21"/>
          <w:szCs w:val="21"/>
          <w:lang w:eastAsia="en-US"/>
        </w:rPr>
      </w:pPr>
      <w:r>
        <w:rPr>
          <w:rFonts w:hint="eastAsia" w:ascii="宋体" w:hAnsi="宋体" w:eastAsia="宋体" w:cs="宋体"/>
          <w:b/>
          <w:bCs/>
          <w:kern w:val="0"/>
          <w:sz w:val="21"/>
          <w:szCs w:val="21"/>
          <w:lang w:eastAsia="en-US"/>
        </w:rPr>
        <w:t>4.2.1项目经理</w:t>
      </w:r>
    </w:p>
    <w:p>
      <w:pPr>
        <w:widowControl/>
        <w:spacing w:line="360" w:lineRule="auto"/>
        <w:ind w:firstLine="420" w:firstLineChars="200"/>
        <w:jc w:val="left"/>
        <w:outlineLvl w:val="0"/>
        <w:rPr>
          <w:rFonts w:hint="eastAsia" w:ascii="宋体" w:hAnsi="宋体" w:eastAsia="宋体" w:cs="宋体"/>
          <w:b w:val="0"/>
          <w:bCs w:val="0"/>
          <w:kern w:val="0"/>
          <w:sz w:val="21"/>
          <w:szCs w:val="21"/>
          <w:lang w:eastAsia="en-US"/>
        </w:rPr>
      </w:pPr>
      <w:r>
        <w:rPr>
          <w:rFonts w:hint="eastAsia" w:ascii="宋体" w:hAnsi="宋体" w:eastAsia="宋体" w:cs="宋体"/>
          <w:b w:val="0"/>
          <w:bCs w:val="0"/>
          <w:kern w:val="0"/>
          <w:sz w:val="21"/>
          <w:szCs w:val="21"/>
          <w:lang w:eastAsia="en-US"/>
        </w:rPr>
        <w:t>投标人需配备</w:t>
      </w:r>
      <w:r>
        <w:rPr>
          <w:rFonts w:hint="eastAsia" w:ascii="宋体" w:hAnsi="宋体" w:eastAsia="宋体" w:cs="宋体"/>
          <w:b w:val="0"/>
          <w:bCs w:val="0"/>
          <w:kern w:val="0"/>
          <w:sz w:val="21"/>
          <w:szCs w:val="21"/>
          <w:lang w:eastAsia="zh-CN"/>
        </w:rPr>
        <w:t>一名</w:t>
      </w:r>
      <w:r>
        <w:rPr>
          <w:rFonts w:hint="eastAsia" w:ascii="宋体" w:hAnsi="宋体" w:eastAsia="宋体" w:cs="宋体"/>
          <w:b w:val="0"/>
          <w:bCs w:val="0"/>
          <w:kern w:val="0"/>
          <w:sz w:val="21"/>
          <w:szCs w:val="21"/>
          <w:lang w:eastAsia="en-US"/>
        </w:rPr>
        <w:t>熟练掌握税务相关业务的驻场管理人员，</w:t>
      </w:r>
      <w:r>
        <w:rPr>
          <w:rFonts w:hint="eastAsia" w:ascii="宋体" w:hAnsi="宋体" w:eastAsia="宋体" w:cs="宋体"/>
          <w:b w:val="0"/>
          <w:bCs w:val="0"/>
          <w:kern w:val="0"/>
          <w:sz w:val="21"/>
          <w:szCs w:val="21"/>
          <w:lang w:eastAsia="zh-CN"/>
        </w:rPr>
        <w:t>服务期间不得更换，以</w:t>
      </w:r>
      <w:r>
        <w:rPr>
          <w:rFonts w:hint="eastAsia" w:ascii="宋体" w:hAnsi="宋体" w:eastAsia="宋体" w:cs="宋体"/>
          <w:b w:val="0"/>
          <w:bCs w:val="0"/>
          <w:kern w:val="0"/>
          <w:sz w:val="21"/>
          <w:szCs w:val="21"/>
          <w:lang w:eastAsia="en-US"/>
        </w:rPr>
        <w:t>保证服务工作有序开展。应优先选取有政务服务工作经验的人员做为驻场管理人员，须具备良好的沟通能力、执行能力和责任心以及丰富的税收相关知识，负责工作人员日常管理及做好现场矛盾化解、投诉处理工作。</w:t>
      </w:r>
    </w:p>
    <w:p>
      <w:pPr>
        <w:widowControl/>
        <w:spacing w:line="360" w:lineRule="auto"/>
        <w:jc w:val="left"/>
        <w:outlineLvl w:val="0"/>
        <w:rPr>
          <w:rFonts w:hint="eastAsia" w:ascii="宋体" w:hAnsi="宋体" w:eastAsia="宋体" w:cs="宋体"/>
          <w:b/>
          <w:bCs/>
          <w:kern w:val="0"/>
          <w:sz w:val="21"/>
          <w:szCs w:val="21"/>
          <w:lang w:eastAsia="en-US"/>
        </w:rPr>
      </w:pPr>
      <w:r>
        <w:rPr>
          <w:rFonts w:hint="eastAsia" w:ascii="宋体" w:hAnsi="宋体" w:eastAsia="宋体" w:cs="宋体"/>
          <w:b/>
          <w:bCs/>
          <w:kern w:val="0"/>
          <w:sz w:val="21"/>
          <w:szCs w:val="21"/>
          <w:lang w:eastAsia="en-US"/>
        </w:rPr>
        <w:t>4.</w:t>
      </w:r>
      <w:r>
        <w:rPr>
          <w:rFonts w:hint="eastAsia" w:ascii="宋体" w:hAnsi="宋体" w:eastAsia="宋体" w:cs="宋体"/>
          <w:b/>
          <w:bCs/>
          <w:kern w:val="0"/>
          <w:sz w:val="21"/>
          <w:szCs w:val="21"/>
          <w:lang w:val="en-US" w:eastAsia="zh-CN"/>
        </w:rPr>
        <w:t>3</w:t>
      </w:r>
      <w:r>
        <w:rPr>
          <w:rFonts w:hint="eastAsia" w:ascii="宋体" w:hAnsi="宋体" w:eastAsia="宋体" w:cs="宋体"/>
          <w:b/>
          <w:bCs/>
          <w:kern w:val="0"/>
          <w:sz w:val="21"/>
          <w:szCs w:val="21"/>
          <w:lang w:eastAsia="en-US"/>
        </w:rPr>
        <w:t>技术团队</w:t>
      </w:r>
      <w:bookmarkEnd w:id="146"/>
      <w:bookmarkEnd w:id="147"/>
    </w:p>
    <w:p>
      <w:pPr>
        <w:widowControl/>
        <w:spacing w:line="360" w:lineRule="auto"/>
        <w:ind w:firstLine="420" w:firstLineChars="200"/>
        <w:jc w:val="both"/>
        <w:outlineLvl w:val="1"/>
        <w:rPr>
          <w:rFonts w:hint="eastAsia" w:ascii="宋体" w:hAnsi="宋体" w:eastAsia="宋体" w:cs="宋体"/>
          <w:kern w:val="0"/>
          <w:sz w:val="21"/>
          <w:szCs w:val="21"/>
          <w:lang w:eastAsia="zh-CN"/>
        </w:rPr>
      </w:pPr>
      <w:r>
        <w:rPr>
          <w:rFonts w:hint="eastAsia" w:ascii="宋体" w:hAnsi="宋体" w:eastAsia="宋体" w:cs="宋体"/>
          <w:b w:val="0"/>
          <w:bCs w:val="0"/>
          <w:kern w:val="0"/>
          <w:sz w:val="21"/>
          <w:szCs w:val="21"/>
          <w:lang w:eastAsia="en-US"/>
        </w:rPr>
        <w:t>投标人需</w:t>
      </w:r>
      <w:r>
        <w:rPr>
          <w:rFonts w:hint="eastAsia" w:ascii="宋体" w:hAnsi="宋体" w:eastAsia="宋体" w:cs="宋体"/>
          <w:b w:val="0"/>
          <w:bCs w:val="0"/>
          <w:kern w:val="0"/>
          <w:sz w:val="21"/>
          <w:szCs w:val="21"/>
          <w:lang w:eastAsia="zh-CN"/>
        </w:rPr>
        <w:t>综合参考业务需求量</w:t>
      </w:r>
      <w:r>
        <w:rPr>
          <w:rFonts w:hint="eastAsia" w:ascii="宋体" w:hAnsi="宋体" w:eastAsia="宋体" w:cs="宋体"/>
          <w:b w:val="0"/>
          <w:bCs w:val="0"/>
          <w:kern w:val="0"/>
          <w:sz w:val="21"/>
          <w:szCs w:val="21"/>
          <w:lang w:eastAsia="en-US"/>
        </w:rPr>
        <w:t>配备</w:t>
      </w:r>
      <w:r>
        <w:rPr>
          <w:rFonts w:hint="eastAsia" w:ascii="宋体" w:hAnsi="宋体" w:eastAsia="宋体" w:cs="宋体"/>
          <w:kern w:val="0"/>
          <w:sz w:val="21"/>
          <w:szCs w:val="21"/>
        </w:rPr>
        <w:t>服务人员</w:t>
      </w:r>
      <w:r>
        <w:rPr>
          <w:rFonts w:hint="eastAsia" w:ascii="宋体" w:hAnsi="宋体" w:eastAsia="宋体" w:cs="宋体"/>
          <w:kern w:val="0"/>
          <w:sz w:val="21"/>
          <w:szCs w:val="21"/>
          <w:lang w:eastAsia="zh-CN"/>
        </w:rPr>
        <w:t>，具体要求为：</w:t>
      </w:r>
    </w:p>
    <w:p>
      <w:pPr>
        <w:widowControl/>
        <w:spacing w:line="360" w:lineRule="auto"/>
        <w:ind w:firstLine="420" w:firstLineChars="200"/>
        <w:jc w:val="both"/>
        <w:outlineLvl w:val="1"/>
        <w:rPr>
          <w:rFonts w:hint="eastAsia" w:ascii="宋体" w:hAnsi="宋体" w:eastAsia="宋体" w:cs="宋体"/>
          <w:kern w:val="0"/>
          <w:sz w:val="21"/>
          <w:szCs w:val="21"/>
        </w:rPr>
      </w:pPr>
      <w:r>
        <w:rPr>
          <w:rFonts w:hint="eastAsia" w:ascii="宋体" w:hAnsi="宋体" w:eastAsia="宋体" w:cs="宋体"/>
          <w:kern w:val="0"/>
          <w:sz w:val="21"/>
          <w:szCs w:val="21"/>
        </w:rPr>
        <w:t>1.拥护中国共产党的领导，政治立场坚定，遵纪守法，品行端正，无犯罪记录。</w:t>
      </w:r>
    </w:p>
    <w:p>
      <w:pPr>
        <w:widowControl/>
        <w:spacing w:line="360" w:lineRule="auto"/>
        <w:ind w:firstLine="420" w:firstLineChars="200"/>
        <w:jc w:val="both"/>
        <w:outlineLvl w:val="1"/>
        <w:rPr>
          <w:rFonts w:hint="eastAsia" w:ascii="宋体" w:hAnsi="宋体" w:eastAsia="宋体" w:cs="宋体"/>
          <w:kern w:val="0"/>
          <w:sz w:val="21"/>
          <w:szCs w:val="21"/>
        </w:rPr>
      </w:pPr>
      <w:r>
        <w:rPr>
          <w:rFonts w:hint="eastAsia" w:ascii="宋体" w:hAnsi="宋体" w:eastAsia="宋体" w:cs="宋体"/>
          <w:kern w:val="0"/>
          <w:sz w:val="21"/>
          <w:szCs w:val="21"/>
        </w:rPr>
        <w:t>2.具备良好的思想素质和道德品质，作风正派。</w:t>
      </w:r>
    </w:p>
    <w:p>
      <w:pPr>
        <w:widowControl/>
        <w:spacing w:line="360" w:lineRule="auto"/>
        <w:ind w:firstLine="420" w:firstLineChars="200"/>
        <w:jc w:val="both"/>
        <w:outlineLvl w:val="1"/>
        <w:rPr>
          <w:rFonts w:hint="eastAsia" w:ascii="宋体" w:hAnsi="宋体" w:eastAsia="宋体" w:cs="宋体"/>
          <w:kern w:val="0"/>
          <w:sz w:val="21"/>
          <w:szCs w:val="21"/>
          <w:highlight w:val="yellow"/>
        </w:rPr>
      </w:pPr>
      <w:r>
        <w:rPr>
          <w:rFonts w:hint="eastAsia" w:ascii="宋体" w:hAnsi="宋体" w:eastAsia="宋体" w:cs="宋体"/>
          <w:kern w:val="0"/>
          <w:sz w:val="21"/>
          <w:szCs w:val="21"/>
        </w:rPr>
        <w:t>3.年龄一般应在20周岁以上，身体健康，五官端正，形象气质佳，会讲普通话，能熟练使用电</w:t>
      </w:r>
      <w:r>
        <w:rPr>
          <w:rFonts w:hint="eastAsia" w:ascii="宋体" w:hAnsi="宋体" w:eastAsia="宋体" w:cs="宋体"/>
          <w:kern w:val="0"/>
          <w:sz w:val="21"/>
          <w:szCs w:val="21"/>
          <w:highlight w:val="none"/>
        </w:rPr>
        <w:t>脑，</w:t>
      </w:r>
      <w:r>
        <w:rPr>
          <w:rFonts w:hint="eastAsia" w:ascii="宋体" w:hAnsi="宋体" w:eastAsia="宋体" w:cs="宋体"/>
          <w:kern w:val="0"/>
          <w:sz w:val="21"/>
          <w:szCs w:val="21"/>
          <w:highlight w:val="none"/>
          <w:lang w:eastAsia="zh-CN"/>
        </w:rPr>
        <w:t>有相关</w:t>
      </w:r>
      <w:r>
        <w:rPr>
          <w:rFonts w:hint="eastAsia" w:ascii="宋体" w:hAnsi="宋体" w:eastAsia="宋体" w:cs="宋体"/>
          <w:kern w:val="0"/>
          <w:sz w:val="21"/>
          <w:szCs w:val="21"/>
          <w:highlight w:val="none"/>
        </w:rPr>
        <w:t>工作经验者优先。</w:t>
      </w:r>
    </w:p>
    <w:p>
      <w:pPr>
        <w:widowControl/>
        <w:spacing w:line="360" w:lineRule="auto"/>
        <w:ind w:firstLine="420" w:firstLineChars="200"/>
        <w:jc w:val="both"/>
        <w:outlineLvl w:val="1"/>
        <w:rPr>
          <w:rFonts w:hint="eastAsia" w:ascii="宋体" w:hAnsi="宋体" w:eastAsia="宋体" w:cs="宋体"/>
          <w:kern w:val="0"/>
          <w:sz w:val="21"/>
          <w:szCs w:val="21"/>
          <w:lang w:eastAsia="zh-CN"/>
        </w:rPr>
      </w:pPr>
      <w:r>
        <w:rPr>
          <w:rFonts w:hint="eastAsia" w:ascii="宋体" w:hAnsi="宋体" w:eastAsia="宋体" w:cs="宋体"/>
          <w:kern w:val="0"/>
          <w:sz w:val="21"/>
          <w:szCs w:val="21"/>
        </w:rPr>
        <w:t>4.大学专科（含专科）以上学历，会计学、经济学、汉语言类、计算机类等专业者优先；</w:t>
      </w:r>
      <w:r>
        <w:rPr>
          <w:rFonts w:hint="eastAsia" w:ascii="宋体" w:hAnsi="宋体" w:eastAsia="宋体" w:cs="宋体"/>
          <w:kern w:val="0"/>
          <w:sz w:val="21"/>
          <w:szCs w:val="21"/>
          <w:highlight w:val="none"/>
        </w:rPr>
        <w:t>为保证办税服务厅非执法类辅助性服务的延续性</w:t>
      </w:r>
      <w:r>
        <w:rPr>
          <w:rFonts w:hint="eastAsia" w:ascii="宋体" w:hAnsi="宋体" w:eastAsia="宋体" w:cs="宋体"/>
          <w:kern w:val="0"/>
          <w:sz w:val="21"/>
          <w:szCs w:val="21"/>
          <w:highlight w:val="none"/>
          <w:lang w:eastAsia="zh-CN"/>
        </w:rPr>
        <w:t>。</w:t>
      </w:r>
    </w:p>
    <w:p>
      <w:pPr>
        <w:widowControl/>
        <w:spacing w:line="360" w:lineRule="auto"/>
        <w:ind w:firstLine="420" w:firstLineChars="200"/>
        <w:jc w:val="both"/>
        <w:outlineLvl w:val="1"/>
        <w:rPr>
          <w:rFonts w:hint="eastAsia" w:ascii="宋体" w:hAnsi="宋体" w:eastAsia="宋体" w:cs="宋体"/>
          <w:kern w:val="0"/>
          <w:sz w:val="21"/>
          <w:szCs w:val="21"/>
        </w:rPr>
      </w:pPr>
      <w:r>
        <w:rPr>
          <w:rFonts w:hint="eastAsia" w:ascii="宋体" w:hAnsi="宋体" w:eastAsia="宋体" w:cs="宋体"/>
          <w:kern w:val="0"/>
          <w:sz w:val="21"/>
          <w:szCs w:val="21"/>
        </w:rPr>
        <w:t>5.遵守分局工作制度和纪律，严格按照合同约定履行工作职责，秉公办事，服从管理。</w:t>
      </w:r>
    </w:p>
    <w:p>
      <w:pPr>
        <w:widowControl/>
        <w:spacing w:line="360" w:lineRule="auto"/>
        <w:ind w:firstLine="420" w:firstLineChars="200"/>
        <w:jc w:val="both"/>
        <w:outlineLvl w:val="1"/>
        <w:rPr>
          <w:rFonts w:hint="eastAsia" w:ascii="宋体" w:hAnsi="宋体" w:eastAsia="宋体" w:cs="宋体"/>
          <w:kern w:val="0"/>
          <w:sz w:val="21"/>
          <w:szCs w:val="21"/>
        </w:rPr>
      </w:pPr>
      <w:r>
        <w:rPr>
          <w:rFonts w:hint="eastAsia" w:ascii="宋体" w:hAnsi="宋体" w:eastAsia="宋体" w:cs="宋体"/>
          <w:kern w:val="0"/>
          <w:sz w:val="21"/>
          <w:szCs w:val="21"/>
        </w:rPr>
        <w:t>6.有较强的服务意识、责任意识和学习能力，积极主动热情，执行力强。</w:t>
      </w:r>
    </w:p>
    <w:p>
      <w:pPr>
        <w:widowControl/>
        <w:spacing w:line="360" w:lineRule="auto"/>
        <w:ind w:firstLine="420" w:firstLineChars="200"/>
        <w:jc w:val="both"/>
        <w:outlineLvl w:val="1"/>
        <w:rPr>
          <w:rFonts w:hint="eastAsia" w:ascii="宋体" w:hAnsi="宋体" w:eastAsia="宋体" w:cs="宋体"/>
          <w:kern w:val="0"/>
          <w:sz w:val="21"/>
          <w:szCs w:val="21"/>
        </w:rPr>
      </w:pPr>
      <w:r>
        <w:rPr>
          <w:rFonts w:hint="eastAsia" w:ascii="宋体" w:hAnsi="宋体" w:eastAsia="宋体" w:cs="宋体"/>
          <w:kern w:val="0"/>
          <w:sz w:val="21"/>
          <w:szCs w:val="21"/>
        </w:rPr>
        <w:t>7.能严格遵守分局有关信息安全的保密规定，严守保密纪律，有效避免信息安全泄密事件的发生。</w:t>
      </w:r>
    </w:p>
    <w:p>
      <w:pPr>
        <w:widowControl/>
        <w:spacing w:line="360" w:lineRule="auto"/>
        <w:ind w:firstLine="420" w:firstLineChars="200"/>
        <w:jc w:val="both"/>
        <w:outlineLvl w:val="1"/>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8</w:t>
      </w:r>
      <w:r>
        <w:rPr>
          <w:rFonts w:hint="eastAsia" w:ascii="宋体" w:hAnsi="宋体" w:eastAsia="宋体" w:cs="宋体"/>
          <w:kern w:val="0"/>
          <w:sz w:val="21"/>
          <w:szCs w:val="21"/>
        </w:rPr>
        <w:t>.工作时间按国家劳动法及工作单位相关规定执行，特殊情况在双方签订合同时约定。</w:t>
      </w:r>
    </w:p>
    <w:p>
      <w:pPr>
        <w:widowControl/>
        <w:spacing w:line="360" w:lineRule="auto"/>
        <w:ind w:firstLine="420" w:firstLineChars="200"/>
        <w:jc w:val="both"/>
        <w:outlineLvl w:val="1"/>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9</w:t>
      </w:r>
      <w:r>
        <w:rPr>
          <w:rFonts w:hint="eastAsia" w:ascii="宋体" w:hAnsi="宋体" w:eastAsia="宋体" w:cs="宋体"/>
          <w:kern w:val="0"/>
          <w:sz w:val="21"/>
          <w:szCs w:val="21"/>
        </w:rPr>
        <w:t>.供应商提供的分局非执法类辅助性服务人员要严格遵守廉洁纪律。</w:t>
      </w:r>
    </w:p>
    <w:p>
      <w:pPr>
        <w:widowControl/>
        <w:spacing w:line="360" w:lineRule="auto"/>
        <w:ind w:firstLine="420" w:firstLineChars="200"/>
        <w:jc w:val="left"/>
        <w:outlineLvl w:val="0"/>
        <w:rPr>
          <w:rFonts w:hint="eastAsia" w:ascii="宋体" w:hAnsi="宋体" w:eastAsia="宋体" w:cs="宋体"/>
          <w:b/>
          <w:bCs/>
          <w:kern w:val="0"/>
          <w:sz w:val="21"/>
          <w:szCs w:val="21"/>
          <w:lang w:eastAsia="en-US"/>
        </w:rPr>
      </w:pPr>
      <w:r>
        <w:rPr>
          <w:rFonts w:hint="eastAsia" w:ascii="宋体" w:hAnsi="宋体" w:eastAsia="宋体" w:cs="宋体"/>
          <w:kern w:val="0"/>
          <w:sz w:val="21"/>
          <w:szCs w:val="21"/>
          <w:lang w:val="en-US" w:eastAsia="zh-CN"/>
        </w:rPr>
        <w:t>10.承诺服务</w:t>
      </w:r>
      <w:r>
        <w:rPr>
          <w:rFonts w:hint="eastAsia" w:ascii="宋体" w:hAnsi="宋体" w:eastAsia="宋体" w:cs="宋体"/>
          <w:kern w:val="0"/>
          <w:sz w:val="21"/>
          <w:szCs w:val="21"/>
        </w:rPr>
        <w:t>人员稳定率≧</w:t>
      </w:r>
      <w:r>
        <w:rPr>
          <w:rFonts w:hint="eastAsia" w:ascii="宋体" w:hAnsi="宋体" w:eastAsia="宋体" w:cs="宋体"/>
          <w:kern w:val="0"/>
          <w:sz w:val="21"/>
          <w:szCs w:val="21"/>
          <w:lang w:val="en-US" w:eastAsia="zh-CN"/>
        </w:rPr>
        <w:t>80</w:t>
      </w:r>
      <w:r>
        <w:rPr>
          <w:rFonts w:hint="eastAsia" w:ascii="宋体" w:hAnsi="宋体" w:eastAsia="宋体" w:cs="宋体"/>
          <w:kern w:val="0"/>
          <w:sz w:val="21"/>
          <w:szCs w:val="21"/>
        </w:rPr>
        <w:t>%</w:t>
      </w:r>
      <w:r>
        <w:rPr>
          <w:rFonts w:hint="eastAsia" w:ascii="宋体" w:hAnsi="宋体" w:eastAsia="宋体" w:cs="宋体"/>
          <w:kern w:val="0"/>
          <w:sz w:val="21"/>
          <w:szCs w:val="21"/>
          <w:lang w:eastAsia="zh-CN"/>
        </w:rPr>
        <w:t>予以加分考虑</w:t>
      </w:r>
      <w:r>
        <w:rPr>
          <w:rFonts w:hint="eastAsia" w:ascii="宋体" w:hAnsi="宋体" w:eastAsia="宋体" w:cs="宋体"/>
          <w:kern w:val="0"/>
          <w:sz w:val="21"/>
          <w:szCs w:val="21"/>
        </w:rPr>
        <w:t>。</w:t>
      </w:r>
    </w:p>
    <w:p>
      <w:pPr>
        <w:widowControl/>
        <w:spacing w:line="360" w:lineRule="auto"/>
        <w:jc w:val="left"/>
        <w:outlineLvl w:val="0"/>
        <w:rPr>
          <w:rFonts w:hint="eastAsia" w:ascii="宋体" w:hAnsi="宋体" w:eastAsia="宋体" w:cs="宋体"/>
          <w:b/>
          <w:bCs/>
          <w:i/>
          <w:iCs/>
          <w:kern w:val="0"/>
          <w:sz w:val="21"/>
          <w:szCs w:val="21"/>
          <w:lang w:eastAsia="en-US"/>
        </w:rPr>
      </w:pPr>
      <w:bookmarkStart w:id="148" w:name="_Toc31520"/>
      <w:bookmarkStart w:id="149" w:name="_Toc26949"/>
      <w:bookmarkStart w:id="150" w:name="_Toc256000025"/>
      <w:r>
        <w:rPr>
          <w:rFonts w:hint="eastAsia" w:ascii="宋体" w:hAnsi="宋体" w:eastAsia="宋体" w:cs="宋体"/>
          <w:b/>
          <w:bCs/>
          <w:kern w:val="0"/>
          <w:sz w:val="21"/>
          <w:szCs w:val="21"/>
          <w:lang w:eastAsia="en-US"/>
        </w:rPr>
        <w:t>4.</w:t>
      </w:r>
      <w:r>
        <w:rPr>
          <w:rFonts w:hint="eastAsia" w:ascii="宋体" w:hAnsi="宋体" w:eastAsia="宋体" w:cs="宋体"/>
          <w:b/>
          <w:bCs/>
          <w:kern w:val="0"/>
          <w:sz w:val="21"/>
          <w:szCs w:val="21"/>
          <w:lang w:val="en-US" w:eastAsia="zh-CN"/>
        </w:rPr>
        <w:t>4</w:t>
      </w:r>
      <w:r>
        <w:rPr>
          <w:rFonts w:hint="eastAsia" w:ascii="宋体" w:hAnsi="宋体" w:eastAsia="宋体" w:cs="宋体"/>
          <w:b/>
          <w:bCs/>
          <w:kern w:val="0"/>
          <w:sz w:val="21"/>
          <w:szCs w:val="21"/>
          <w:lang w:eastAsia="en-US"/>
        </w:rPr>
        <w:t>优选资质/优选指标</w:t>
      </w:r>
      <w:bookmarkEnd w:id="148"/>
      <w:bookmarkEnd w:id="149"/>
      <w:bookmarkEnd w:id="150"/>
    </w:p>
    <w:tbl>
      <w:tblPr>
        <w:tblStyle w:val="20"/>
        <w:tblW w:w="5007"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928"/>
        <w:gridCol w:w="1846"/>
        <w:gridCol w:w="1204"/>
        <w:gridCol w:w="2767"/>
        <w:gridCol w:w="15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wBefore w:w="2" w:type="pct"/>
          <w:trHeight w:val="367" w:hRule="atLeast"/>
          <w:jc w:val="center"/>
        </w:trPr>
        <w:tc>
          <w:tcPr>
            <w:tcW w:w="557" w:type="pct"/>
            <w:tcBorders>
              <w:top w:val="single" w:color="000000" w:sz="4" w:space="0"/>
              <w:left w:val="single" w:color="000000" w:sz="4" w:space="0"/>
              <w:bottom w:val="single" w:color="000000" w:sz="4" w:space="0"/>
              <w:right w:val="single" w:color="000000" w:sz="4" w:space="0"/>
              <w:tl2br w:val="nil"/>
              <w:tr2bl w:val="nil"/>
            </w:tcBorders>
            <w:shd w:val="clear" w:color="auto" w:fill="D3D3D3"/>
            <w:noWrap w:val="0"/>
            <w:vAlign w:val="top"/>
          </w:tcPr>
          <w:p>
            <w:pPr>
              <w:pStyle w:val="52"/>
              <w:keepNext w:val="0"/>
              <w:keepLines w:val="0"/>
              <w:suppressLineNumbers w:val="0"/>
              <w:spacing w:before="0" w:beforeLines="0" w:beforeAutospacing="0" w:after="0" w:afterLines="0" w:afterAutospacing="0" w:line="229" w:lineRule="auto"/>
              <w:ind w:left="0" w:right="0"/>
              <w:jc w:val="center"/>
              <w:rPr>
                <w:rFonts w:hint="default"/>
                <w:sz w:val="20"/>
                <w:szCs w:val="20"/>
              </w:rPr>
            </w:pPr>
            <w:r>
              <w:rPr>
                <w:rFonts w:hint="default"/>
                <w:b/>
                <w:spacing w:val="4"/>
                <w:sz w:val="20"/>
                <w:szCs w:val="20"/>
              </w:rPr>
              <w:t>序号</w:t>
            </w:r>
          </w:p>
        </w:tc>
        <w:tc>
          <w:tcPr>
            <w:tcW w:w="1107" w:type="pct"/>
            <w:tcBorders>
              <w:top w:val="single" w:color="000000" w:sz="4" w:space="0"/>
              <w:left w:val="single" w:color="000000" w:sz="4" w:space="0"/>
              <w:bottom w:val="single" w:color="000000" w:sz="4" w:space="0"/>
              <w:right w:val="single" w:color="000000" w:sz="4" w:space="0"/>
              <w:tl2br w:val="nil"/>
              <w:tr2bl w:val="nil"/>
            </w:tcBorders>
            <w:shd w:val="clear" w:color="auto" w:fill="D3D3D3"/>
            <w:noWrap w:val="0"/>
            <w:vAlign w:val="top"/>
          </w:tcPr>
          <w:p>
            <w:pPr>
              <w:pStyle w:val="52"/>
              <w:keepNext w:val="0"/>
              <w:keepLines w:val="0"/>
              <w:suppressLineNumbers w:val="0"/>
              <w:spacing w:before="0" w:beforeLines="0" w:beforeAutospacing="0" w:after="0" w:afterLines="0" w:afterAutospacing="0" w:line="228" w:lineRule="auto"/>
              <w:ind w:left="0" w:right="0"/>
              <w:jc w:val="center"/>
              <w:rPr>
                <w:rFonts w:hint="default"/>
                <w:sz w:val="20"/>
                <w:szCs w:val="20"/>
              </w:rPr>
            </w:pPr>
            <w:r>
              <w:rPr>
                <w:rFonts w:hint="default"/>
                <w:b/>
                <w:spacing w:val="6"/>
                <w:sz w:val="20"/>
                <w:szCs w:val="20"/>
              </w:rPr>
              <w:t>人员类别</w:t>
            </w:r>
          </w:p>
        </w:tc>
        <w:tc>
          <w:tcPr>
            <w:tcW w:w="722" w:type="pct"/>
            <w:tcBorders>
              <w:top w:val="single" w:color="000000" w:sz="4" w:space="0"/>
              <w:left w:val="single" w:color="000000" w:sz="4" w:space="0"/>
              <w:bottom w:val="single" w:color="000000" w:sz="4" w:space="0"/>
              <w:right w:val="single" w:color="000000" w:sz="4" w:space="0"/>
              <w:tl2br w:val="nil"/>
              <w:tr2bl w:val="nil"/>
            </w:tcBorders>
            <w:shd w:val="clear" w:color="auto" w:fill="D3D3D3"/>
            <w:noWrap w:val="0"/>
            <w:vAlign w:val="top"/>
          </w:tcPr>
          <w:p>
            <w:pPr>
              <w:pStyle w:val="52"/>
              <w:keepNext w:val="0"/>
              <w:keepLines w:val="0"/>
              <w:suppressLineNumbers w:val="0"/>
              <w:spacing w:before="0" w:beforeLines="0" w:beforeAutospacing="0" w:after="0" w:afterLines="0" w:afterAutospacing="0" w:line="228" w:lineRule="auto"/>
              <w:ind w:left="0" w:right="0"/>
              <w:jc w:val="center"/>
              <w:rPr>
                <w:rFonts w:hint="default"/>
                <w:sz w:val="20"/>
                <w:szCs w:val="20"/>
              </w:rPr>
            </w:pPr>
            <w:r>
              <w:rPr>
                <w:rFonts w:hint="default"/>
                <w:b/>
                <w:spacing w:val="6"/>
                <w:sz w:val="20"/>
                <w:szCs w:val="20"/>
              </w:rPr>
              <w:t>人员岗位</w:t>
            </w:r>
          </w:p>
        </w:tc>
        <w:tc>
          <w:tcPr>
            <w:tcW w:w="1659" w:type="pct"/>
            <w:tcBorders>
              <w:top w:val="single" w:color="000000" w:sz="4" w:space="0"/>
              <w:left w:val="single" w:color="000000" w:sz="4" w:space="0"/>
              <w:bottom w:val="single" w:color="000000" w:sz="4" w:space="0"/>
              <w:right w:val="single" w:color="000000" w:sz="4" w:space="0"/>
              <w:tl2br w:val="nil"/>
              <w:tr2bl w:val="nil"/>
            </w:tcBorders>
            <w:shd w:val="clear" w:color="auto" w:fill="D3D3D3"/>
            <w:noWrap w:val="0"/>
            <w:vAlign w:val="top"/>
          </w:tcPr>
          <w:p>
            <w:pPr>
              <w:pStyle w:val="52"/>
              <w:keepNext w:val="0"/>
              <w:keepLines w:val="0"/>
              <w:suppressLineNumbers w:val="0"/>
              <w:spacing w:before="0" w:beforeLines="0" w:beforeAutospacing="0" w:after="0" w:afterLines="0" w:afterAutospacing="0" w:line="229" w:lineRule="auto"/>
              <w:ind w:left="0" w:right="0"/>
              <w:jc w:val="center"/>
              <w:rPr>
                <w:rFonts w:hint="default"/>
                <w:sz w:val="20"/>
                <w:szCs w:val="20"/>
              </w:rPr>
            </w:pPr>
            <w:r>
              <w:rPr>
                <w:rFonts w:hint="default"/>
                <w:b/>
                <w:spacing w:val="6"/>
                <w:sz w:val="20"/>
                <w:szCs w:val="20"/>
              </w:rPr>
              <w:t>人员要求</w:t>
            </w:r>
          </w:p>
        </w:tc>
        <w:tc>
          <w:tcPr>
            <w:tcW w:w="949" w:type="pct"/>
            <w:tcBorders>
              <w:top w:val="single" w:color="000000" w:sz="4" w:space="0"/>
              <w:left w:val="single" w:color="000000" w:sz="4" w:space="0"/>
              <w:bottom w:val="single" w:color="000000" w:sz="4" w:space="0"/>
              <w:right w:val="single" w:color="000000" w:sz="4" w:space="0"/>
              <w:tl2br w:val="nil"/>
              <w:tr2bl w:val="nil"/>
            </w:tcBorders>
            <w:shd w:val="clear" w:color="auto" w:fill="D3D3D3"/>
            <w:noWrap w:val="0"/>
            <w:vAlign w:val="top"/>
          </w:tcPr>
          <w:p>
            <w:pPr>
              <w:pStyle w:val="52"/>
              <w:keepNext w:val="0"/>
              <w:keepLines w:val="0"/>
              <w:suppressLineNumbers w:val="0"/>
              <w:spacing w:before="0" w:beforeLines="0" w:beforeAutospacing="0" w:after="0" w:afterLines="0" w:afterAutospacing="0" w:line="228" w:lineRule="auto"/>
              <w:ind w:left="0" w:right="0"/>
              <w:jc w:val="center"/>
              <w:rPr>
                <w:rFonts w:hint="default"/>
                <w:sz w:val="20"/>
                <w:szCs w:val="20"/>
              </w:rPr>
            </w:pPr>
            <w:r>
              <w:rPr>
                <w:rFonts w:hint="default"/>
                <w:b/>
                <w:spacing w:val="6"/>
                <w:sz w:val="20"/>
                <w:szCs w:val="20"/>
              </w:rPr>
              <w:t>是否作为加分项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wBefore w:w="2" w:type="pct"/>
          <w:trHeight w:val="1120" w:hRule="atLeast"/>
          <w:jc w:val="center"/>
        </w:trPr>
        <w:tc>
          <w:tcPr>
            <w:tcW w:w="557"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52"/>
              <w:keepNext w:val="0"/>
              <w:keepLines w:val="0"/>
              <w:suppressLineNumbers w:val="0"/>
              <w:spacing w:before="0" w:beforeLines="0" w:beforeAutospacing="0" w:after="0" w:afterLines="0" w:afterAutospacing="0" w:line="270" w:lineRule="exact"/>
              <w:ind w:left="0" w:right="0"/>
              <w:jc w:val="center"/>
              <w:rPr>
                <w:rFonts w:hint="default"/>
                <w:sz w:val="20"/>
                <w:szCs w:val="20"/>
              </w:rPr>
            </w:pPr>
            <w:r>
              <w:rPr>
                <w:rFonts w:hint="default"/>
                <w:position w:val="1"/>
                <w:sz w:val="20"/>
                <w:szCs w:val="20"/>
              </w:rPr>
              <w:t>1</w:t>
            </w:r>
          </w:p>
        </w:tc>
        <w:tc>
          <w:tcPr>
            <w:tcW w:w="1107"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52"/>
              <w:keepNext w:val="0"/>
              <w:keepLines w:val="0"/>
              <w:suppressLineNumbers w:val="0"/>
              <w:spacing w:before="0" w:beforeLines="0" w:beforeAutospacing="0" w:after="0" w:afterLines="0" w:afterAutospacing="0" w:line="228" w:lineRule="auto"/>
              <w:ind w:left="0" w:right="0"/>
              <w:jc w:val="center"/>
              <w:rPr>
                <w:rFonts w:hint="eastAsia" w:eastAsia="宋体"/>
                <w:sz w:val="20"/>
                <w:szCs w:val="20"/>
                <w:lang w:eastAsia="zh-CN"/>
              </w:rPr>
            </w:pPr>
            <w:r>
              <w:rPr>
                <w:rFonts w:hint="eastAsia"/>
                <w:sz w:val="21"/>
                <w:szCs w:val="21"/>
                <w:lang w:eastAsia="zh-CN"/>
              </w:rPr>
              <w:t>管理团队</w:t>
            </w:r>
          </w:p>
        </w:tc>
        <w:tc>
          <w:tcPr>
            <w:tcW w:w="72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keepNext w:val="0"/>
              <w:keepLines w:val="0"/>
              <w:suppressLineNumbers w:val="0"/>
              <w:spacing w:before="0" w:beforeLines="0" w:beforeAutospacing="0" w:after="0" w:afterLines="0" w:afterAutospacing="0"/>
              <w:ind w:left="0" w:right="0"/>
              <w:jc w:val="center"/>
              <w:rPr>
                <w:rFonts w:hint="eastAsia" w:eastAsiaTheme="minorEastAsia"/>
                <w:sz w:val="21"/>
                <w:szCs w:val="21"/>
                <w:lang w:eastAsia="zh-CN"/>
              </w:rPr>
            </w:pPr>
            <w:r>
              <w:rPr>
                <w:rFonts w:hint="eastAsia"/>
                <w:sz w:val="21"/>
                <w:szCs w:val="21"/>
                <w:lang w:eastAsia="zh-CN"/>
              </w:rPr>
              <w:t>项目经理</w:t>
            </w:r>
          </w:p>
        </w:tc>
        <w:tc>
          <w:tcPr>
            <w:tcW w:w="1659"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52"/>
              <w:keepNext w:val="0"/>
              <w:keepLines w:val="0"/>
              <w:suppressLineNumbers w:val="0"/>
              <w:spacing w:before="0" w:beforeLines="0" w:beforeAutospacing="0" w:after="0" w:afterLines="0" w:afterAutospacing="0" w:line="281" w:lineRule="auto"/>
              <w:ind w:left="0" w:right="0" w:firstLine="3"/>
              <w:jc w:val="center"/>
              <w:rPr>
                <w:rFonts w:hint="default"/>
                <w:sz w:val="20"/>
                <w:szCs w:val="20"/>
              </w:rPr>
            </w:pPr>
            <w:r>
              <w:rPr>
                <w:rFonts w:hint="default"/>
                <w:spacing w:val="3"/>
                <w:sz w:val="20"/>
                <w:szCs w:val="20"/>
              </w:rPr>
              <w:t>具有</w:t>
            </w:r>
            <w:r>
              <w:rPr>
                <w:rFonts w:hint="eastAsia"/>
                <w:spacing w:val="-21"/>
                <w:sz w:val="20"/>
                <w:szCs w:val="20"/>
                <w:lang w:val="en-US" w:eastAsia="zh-CN"/>
              </w:rPr>
              <w:t>3</w:t>
            </w:r>
            <w:r>
              <w:rPr>
                <w:rFonts w:hint="default"/>
                <w:spacing w:val="3"/>
                <w:sz w:val="20"/>
                <w:szCs w:val="20"/>
              </w:rPr>
              <w:t>年及以上政</w:t>
            </w:r>
            <w:r>
              <w:rPr>
                <w:rFonts w:hint="default"/>
                <w:sz w:val="20"/>
                <w:szCs w:val="20"/>
              </w:rPr>
              <w:t>务服务</w:t>
            </w:r>
            <w:r>
              <w:rPr>
                <w:rFonts w:hint="eastAsia"/>
                <w:sz w:val="20"/>
                <w:szCs w:val="20"/>
                <w:lang w:eastAsia="zh-CN"/>
              </w:rPr>
              <w:t>等</w:t>
            </w:r>
            <w:r>
              <w:rPr>
                <w:rFonts w:hint="default"/>
                <w:sz w:val="20"/>
                <w:szCs w:val="20"/>
              </w:rPr>
              <w:t>工作经验，予以加分。</w:t>
            </w:r>
          </w:p>
        </w:tc>
        <w:tc>
          <w:tcPr>
            <w:tcW w:w="949"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52"/>
              <w:keepNext w:val="0"/>
              <w:keepLines w:val="0"/>
              <w:suppressLineNumbers w:val="0"/>
              <w:spacing w:before="0" w:beforeLines="0" w:beforeAutospacing="0" w:after="0" w:afterLines="0" w:afterAutospacing="0" w:line="231" w:lineRule="auto"/>
              <w:ind w:left="0" w:right="0"/>
              <w:jc w:val="center"/>
              <w:rPr>
                <w:rFonts w:hint="default"/>
                <w:sz w:val="20"/>
                <w:szCs w:val="20"/>
              </w:rPr>
            </w:pPr>
            <w:r>
              <w:rPr>
                <w:rFonts w:hint="default"/>
                <w:sz w:val="20"/>
                <w:szCs w:val="20"/>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wBefore w:w="2" w:type="pct"/>
          <w:trHeight w:val="1120" w:hRule="atLeast"/>
          <w:jc w:val="center"/>
        </w:trPr>
        <w:tc>
          <w:tcPr>
            <w:tcW w:w="557"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52"/>
              <w:keepNext w:val="0"/>
              <w:keepLines w:val="0"/>
              <w:suppressLineNumbers w:val="0"/>
              <w:spacing w:before="0" w:beforeLines="0" w:beforeAutospacing="0" w:after="0" w:afterLines="0" w:afterAutospacing="0" w:line="270" w:lineRule="exact"/>
              <w:ind w:left="0" w:leftChars="0" w:right="0" w:rightChars="0"/>
              <w:jc w:val="center"/>
              <w:rPr>
                <w:rFonts w:hint="default" w:ascii="宋体" w:hAnsi="宋体" w:eastAsia="宋体" w:cs="宋体"/>
                <w:kern w:val="2"/>
                <w:sz w:val="20"/>
                <w:szCs w:val="20"/>
                <w:lang w:val="en-US" w:eastAsia="zh-CN" w:bidi="ar-SA"/>
              </w:rPr>
            </w:pPr>
            <w:r>
              <w:rPr>
                <w:rFonts w:hint="default"/>
                <w:position w:val="1"/>
                <w:sz w:val="20"/>
                <w:szCs w:val="20"/>
              </w:rPr>
              <w:t>2</w:t>
            </w:r>
          </w:p>
        </w:tc>
        <w:tc>
          <w:tcPr>
            <w:tcW w:w="1107"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52"/>
              <w:keepNext w:val="0"/>
              <w:keepLines w:val="0"/>
              <w:suppressLineNumbers w:val="0"/>
              <w:spacing w:before="0" w:beforeLines="0" w:beforeAutospacing="0" w:after="0" w:afterLines="0" w:afterAutospacing="0" w:line="228" w:lineRule="auto"/>
              <w:ind w:left="0" w:leftChars="0" w:right="0" w:rightChars="0"/>
              <w:jc w:val="center"/>
              <w:rPr>
                <w:rFonts w:hint="eastAsia" w:ascii="宋体" w:hAnsi="宋体" w:eastAsia="宋体" w:cs="宋体"/>
                <w:kern w:val="2"/>
                <w:sz w:val="20"/>
                <w:szCs w:val="20"/>
                <w:lang w:val="en-US" w:eastAsia="zh-CN" w:bidi="ar-SA"/>
              </w:rPr>
            </w:pPr>
            <w:r>
              <w:rPr>
                <w:rFonts w:hint="eastAsia"/>
                <w:sz w:val="21"/>
                <w:szCs w:val="21"/>
                <w:lang w:eastAsia="zh-CN"/>
              </w:rPr>
              <w:t>技术团队</w:t>
            </w:r>
          </w:p>
        </w:tc>
        <w:tc>
          <w:tcPr>
            <w:tcW w:w="72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keepNext w:val="0"/>
              <w:keepLines w:val="0"/>
              <w:suppressLineNumbers w:val="0"/>
              <w:spacing w:before="0" w:beforeLines="0" w:beforeAutospacing="0" w:after="0" w:afterLines="0" w:afterAutospacing="0"/>
              <w:ind w:left="0" w:leftChars="0" w:right="0" w:rightChars="0"/>
              <w:jc w:val="center"/>
              <w:rPr>
                <w:rFonts w:hint="default" w:asciiTheme="minorHAnsi" w:hAnsiTheme="minorHAnsi" w:eastAsiaTheme="minorEastAsia" w:cstheme="minorBidi"/>
                <w:kern w:val="2"/>
                <w:sz w:val="21"/>
                <w:szCs w:val="21"/>
                <w:lang w:val="en-US" w:eastAsia="zh-CN" w:bidi="ar-SA"/>
              </w:rPr>
            </w:pPr>
            <w:r>
              <w:rPr>
                <w:rFonts w:hint="eastAsia" w:cstheme="minorBidi"/>
                <w:kern w:val="2"/>
                <w:sz w:val="21"/>
                <w:szCs w:val="21"/>
                <w:lang w:val="en-US" w:eastAsia="zh-CN" w:bidi="ar-SA"/>
              </w:rPr>
              <w:t>服务人员</w:t>
            </w:r>
          </w:p>
        </w:tc>
        <w:tc>
          <w:tcPr>
            <w:tcW w:w="1659"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52"/>
              <w:keepNext w:val="0"/>
              <w:keepLines w:val="0"/>
              <w:suppressLineNumbers w:val="0"/>
              <w:spacing w:before="0" w:beforeLines="0" w:beforeAutospacing="0" w:after="0" w:afterLines="0" w:afterAutospacing="0" w:line="283" w:lineRule="auto"/>
              <w:ind w:left="0" w:leftChars="0" w:right="0" w:rightChars="0"/>
              <w:jc w:val="center"/>
              <w:rPr>
                <w:rFonts w:hint="default" w:ascii="宋体" w:hAnsi="宋体" w:eastAsia="宋体" w:cs="宋体"/>
                <w:kern w:val="2"/>
                <w:sz w:val="20"/>
                <w:szCs w:val="20"/>
                <w:lang w:val="en-US" w:eastAsia="zh-CN" w:bidi="ar-SA"/>
              </w:rPr>
            </w:pPr>
            <w:r>
              <w:rPr>
                <w:rFonts w:hint="eastAsia" w:ascii="宋体" w:hAnsi="宋体" w:eastAsia="宋体" w:cs="宋体"/>
                <w:color w:val="000000"/>
                <w:sz w:val="21"/>
                <w:szCs w:val="21"/>
              </w:rPr>
              <w:t>具有1年及以上</w:t>
            </w:r>
            <w:r>
              <w:rPr>
                <w:rFonts w:hint="eastAsia" w:cs="宋体"/>
                <w:color w:val="000000"/>
                <w:sz w:val="21"/>
                <w:szCs w:val="21"/>
                <w:lang w:eastAsia="zh-CN"/>
              </w:rPr>
              <w:t>涉税服务、会计、审计</w:t>
            </w:r>
            <w:r>
              <w:rPr>
                <w:rFonts w:hint="eastAsia" w:ascii="宋体" w:hAnsi="宋体" w:eastAsia="宋体" w:cs="宋体"/>
                <w:color w:val="000000"/>
                <w:sz w:val="21"/>
                <w:szCs w:val="21"/>
              </w:rPr>
              <w:t>等相关服务工作经验</w:t>
            </w:r>
          </w:p>
        </w:tc>
        <w:tc>
          <w:tcPr>
            <w:tcW w:w="949" w:type="pct"/>
            <w:tcBorders>
              <w:top w:val="single" w:color="000000" w:sz="4" w:space="0"/>
              <w:left w:val="single" w:color="000000" w:sz="4" w:space="0"/>
              <w:bottom w:val="single" w:color="000000" w:sz="4" w:space="0"/>
              <w:right w:val="single" w:color="000000" w:sz="4" w:space="0"/>
              <w:tl2br w:val="nil"/>
              <w:tr2bl w:val="nil"/>
            </w:tcBorders>
            <w:noWrap w:val="0"/>
            <w:vAlign w:val="center"/>
          </w:tcPr>
          <w:p>
            <w:pPr>
              <w:pStyle w:val="52"/>
              <w:keepNext w:val="0"/>
              <w:keepLines w:val="0"/>
              <w:suppressLineNumbers w:val="0"/>
              <w:spacing w:before="0" w:beforeLines="0" w:beforeAutospacing="0" w:after="0" w:afterLines="0" w:afterAutospacing="0" w:line="231" w:lineRule="auto"/>
              <w:ind w:left="0" w:leftChars="0" w:right="0" w:rightChars="0"/>
              <w:jc w:val="center"/>
              <w:rPr>
                <w:rFonts w:hint="eastAsia" w:ascii="宋体" w:hAnsi="宋体" w:eastAsia="宋体" w:cs="宋体"/>
                <w:kern w:val="2"/>
                <w:sz w:val="20"/>
                <w:szCs w:val="20"/>
                <w:lang w:val="en-US" w:eastAsia="zh-CN" w:bidi="ar-SA"/>
              </w:rPr>
            </w:pPr>
            <w:r>
              <w:rPr>
                <w:rFonts w:hint="eastAsia"/>
                <w:sz w:val="21"/>
                <w:szCs w:val="21"/>
                <w:lang w:eastAsia="zh-CN"/>
              </w:rPr>
              <w:t>是</w:t>
            </w:r>
          </w:p>
        </w:tc>
      </w:tr>
    </w:tbl>
    <w:p>
      <w:pPr>
        <w:spacing w:line="360" w:lineRule="auto"/>
        <w:jc w:val="left"/>
        <w:rPr>
          <w:rFonts w:hint="eastAsia" w:ascii="宋体" w:hAnsi="宋体" w:eastAsia="宋体" w:cs="宋体"/>
          <w:sz w:val="21"/>
          <w:szCs w:val="21"/>
        </w:rPr>
      </w:pPr>
    </w:p>
    <w:p>
      <w:pPr>
        <w:spacing w:line="360" w:lineRule="auto"/>
        <w:jc w:val="left"/>
        <w:rPr>
          <w:rFonts w:hint="eastAsia" w:ascii="宋体" w:hAnsi="宋体" w:eastAsia="宋体" w:cs="宋体"/>
          <w:sz w:val="21"/>
          <w:szCs w:val="21"/>
        </w:rPr>
      </w:pPr>
    </w:p>
    <w:p>
      <w:pPr>
        <w:spacing w:line="360" w:lineRule="auto"/>
        <w:jc w:val="center"/>
        <w:outlineLvl w:val="0"/>
        <w:rPr>
          <w:rFonts w:hint="eastAsia" w:ascii="宋体" w:hAnsi="宋体" w:eastAsia="宋体" w:cs="宋体"/>
          <w:b/>
          <w:bCs/>
          <w:kern w:val="36"/>
          <w:sz w:val="21"/>
          <w:szCs w:val="21"/>
          <w:lang w:eastAsia="en-US"/>
        </w:rPr>
      </w:pPr>
      <w:bookmarkStart w:id="151" w:name="_Toc256000026"/>
      <w:bookmarkStart w:id="152" w:name="_Toc5233"/>
      <w:bookmarkStart w:id="153" w:name="_Toc32000"/>
      <w:r>
        <w:rPr>
          <w:rFonts w:hint="eastAsia" w:ascii="宋体" w:hAnsi="宋体" w:eastAsia="宋体" w:cs="宋体"/>
          <w:b/>
          <w:bCs/>
          <w:kern w:val="36"/>
          <w:sz w:val="21"/>
          <w:szCs w:val="21"/>
          <w:lang w:eastAsia="en-US"/>
        </w:rPr>
        <w:t>5管理实施要求</w:t>
      </w:r>
      <w:bookmarkEnd w:id="151"/>
      <w:bookmarkEnd w:id="152"/>
      <w:bookmarkEnd w:id="153"/>
    </w:p>
    <w:p>
      <w:pPr>
        <w:spacing w:line="360" w:lineRule="auto"/>
        <w:ind w:firstLine="420" w:firstLineChars="200"/>
        <w:jc w:val="both"/>
        <w:outlineLvl w:val="0"/>
        <w:rPr>
          <w:rFonts w:hint="eastAsia" w:ascii="宋体" w:hAnsi="宋体" w:eastAsia="宋体" w:cs="宋体"/>
          <w:kern w:val="0"/>
          <w:sz w:val="21"/>
          <w:szCs w:val="21"/>
          <w:highlight w:val="none"/>
          <w:lang w:eastAsia="en-US"/>
        </w:rPr>
      </w:pPr>
      <w:bookmarkStart w:id="154" w:name="_Toc2255"/>
      <w:bookmarkStart w:id="155" w:name="_Toc15443"/>
      <w:r>
        <w:rPr>
          <w:rFonts w:hint="eastAsia" w:ascii="宋体" w:hAnsi="宋体" w:eastAsia="宋体" w:cs="宋体"/>
          <w:kern w:val="0"/>
          <w:sz w:val="21"/>
          <w:szCs w:val="21"/>
          <w:highlight w:val="none"/>
          <w:lang w:eastAsia="en-US"/>
        </w:rPr>
        <w:t>1.供应商应制定相关制度规范，主要包括</w:t>
      </w:r>
      <w:r>
        <w:rPr>
          <w:rFonts w:hint="eastAsia" w:ascii="宋体" w:hAnsi="宋体" w:eastAsia="宋体" w:cs="宋体"/>
          <w:kern w:val="0"/>
          <w:sz w:val="21"/>
          <w:szCs w:val="21"/>
          <w:highlight w:val="none"/>
          <w:lang w:eastAsia="zh-CN"/>
        </w:rPr>
        <w:t>制定投入本项目人员的</w:t>
      </w:r>
      <w:r>
        <w:rPr>
          <w:rFonts w:hint="eastAsia" w:ascii="宋体" w:hAnsi="宋体" w:eastAsia="宋体" w:cs="宋体"/>
          <w:kern w:val="0"/>
          <w:sz w:val="21"/>
          <w:szCs w:val="21"/>
          <w:highlight w:val="none"/>
          <w:lang w:eastAsia="en-US"/>
        </w:rPr>
        <w:t>日常管理制度、服务用语规范、业务记录规范、人员责任规范、业务转办规范、业务培训制度、知识库运维制度等，并报采购人备查。</w:t>
      </w:r>
    </w:p>
    <w:p>
      <w:pPr>
        <w:spacing w:line="360" w:lineRule="auto"/>
        <w:ind w:firstLine="420" w:firstLineChars="200"/>
        <w:jc w:val="both"/>
        <w:outlineLvl w:val="0"/>
        <w:rPr>
          <w:rFonts w:hint="eastAsia" w:ascii="宋体" w:hAnsi="宋体" w:eastAsia="宋体" w:cs="宋体"/>
          <w:kern w:val="0"/>
          <w:sz w:val="21"/>
          <w:szCs w:val="21"/>
          <w:highlight w:val="none"/>
          <w:lang w:eastAsia="en-US"/>
        </w:rPr>
      </w:pPr>
      <w:r>
        <w:rPr>
          <w:rFonts w:hint="eastAsia" w:ascii="宋体" w:hAnsi="宋体" w:eastAsia="宋体" w:cs="宋体"/>
          <w:kern w:val="0"/>
          <w:sz w:val="21"/>
          <w:szCs w:val="21"/>
          <w:highlight w:val="none"/>
          <w:lang w:eastAsia="en-US"/>
        </w:rPr>
        <w:t>2.根据采购人实际情况，配备足够服务人员以保障服务质量</w:t>
      </w:r>
      <w:r>
        <w:rPr>
          <w:rFonts w:hint="eastAsia" w:ascii="宋体" w:hAnsi="宋体" w:eastAsia="宋体" w:cs="宋体"/>
          <w:kern w:val="0"/>
          <w:sz w:val="21"/>
          <w:szCs w:val="21"/>
          <w:highlight w:val="none"/>
          <w:lang w:eastAsia="zh-CN"/>
        </w:rPr>
        <w:t>，</w:t>
      </w:r>
      <w:r>
        <w:rPr>
          <w:rFonts w:hint="eastAsia" w:ascii="宋体" w:hAnsi="宋体" w:eastAsia="宋体" w:cs="宋体"/>
          <w:kern w:val="0"/>
          <w:sz w:val="21"/>
          <w:szCs w:val="21"/>
          <w:highlight w:val="none"/>
          <w:lang w:eastAsia="en-US"/>
        </w:rPr>
        <w:t>并满足采购人非执法类辅助性服务的需求，若出现不满足采购人非执法类辅助性服务的情况，供应商应在1个工作日内补充到位，补充的服务人员，应当与采购人协商确定。若出现人员未补充到位而影响</w:t>
      </w:r>
      <w:r>
        <w:rPr>
          <w:rFonts w:hint="eastAsia" w:ascii="宋体" w:hAnsi="宋体" w:eastAsia="宋体" w:cs="宋体"/>
          <w:kern w:val="0"/>
          <w:sz w:val="21"/>
          <w:szCs w:val="21"/>
          <w:highlight w:val="none"/>
          <w:lang w:eastAsia="zh-CN"/>
        </w:rPr>
        <w:t>服务质量</w:t>
      </w:r>
      <w:r>
        <w:rPr>
          <w:rFonts w:hint="eastAsia" w:ascii="宋体" w:hAnsi="宋体" w:eastAsia="宋体" w:cs="宋体"/>
          <w:kern w:val="0"/>
          <w:sz w:val="21"/>
          <w:szCs w:val="21"/>
          <w:highlight w:val="none"/>
          <w:lang w:eastAsia="en-US"/>
        </w:rPr>
        <w:t>的，采购人可以解除合同。</w:t>
      </w:r>
    </w:p>
    <w:p>
      <w:pPr>
        <w:spacing w:line="360" w:lineRule="auto"/>
        <w:ind w:firstLine="420" w:firstLineChars="200"/>
        <w:jc w:val="both"/>
        <w:outlineLvl w:val="0"/>
        <w:rPr>
          <w:rFonts w:hint="eastAsia" w:ascii="宋体" w:hAnsi="宋体" w:eastAsia="宋体" w:cs="宋体"/>
          <w:kern w:val="0"/>
          <w:sz w:val="21"/>
          <w:szCs w:val="21"/>
          <w:highlight w:val="none"/>
          <w:lang w:eastAsia="en-US"/>
        </w:rPr>
      </w:pPr>
      <w:r>
        <w:rPr>
          <w:rFonts w:hint="eastAsia" w:ascii="宋体" w:hAnsi="宋体" w:eastAsia="宋体" w:cs="宋体"/>
          <w:kern w:val="0"/>
          <w:sz w:val="21"/>
          <w:szCs w:val="21"/>
          <w:highlight w:val="none"/>
          <w:lang w:eastAsia="en-US"/>
        </w:rPr>
        <w:t>3.供应商按照采购人的要求，加强</w:t>
      </w:r>
      <w:r>
        <w:rPr>
          <w:rFonts w:hint="eastAsia" w:ascii="宋体" w:hAnsi="宋体" w:eastAsia="宋体" w:cs="宋体"/>
          <w:kern w:val="0"/>
          <w:sz w:val="21"/>
          <w:szCs w:val="21"/>
          <w:highlight w:val="none"/>
          <w:lang w:eastAsia="zh-CN"/>
        </w:rPr>
        <w:t>对投入本项目人员</w:t>
      </w:r>
      <w:r>
        <w:rPr>
          <w:rFonts w:hint="eastAsia" w:ascii="宋体" w:hAnsi="宋体" w:eastAsia="宋体" w:cs="宋体"/>
          <w:kern w:val="0"/>
          <w:sz w:val="21"/>
          <w:szCs w:val="21"/>
          <w:highlight w:val="none"/>
          <w:lang w:eastAsia="en-US"/>
        </w:rPr>
        <w:t>的培训、教育、管理、考核等工作，保证其具备完成日常工作的基本素质和能力，严格遵守国家法律和采购人的规章制度，服务期间严格服从采购人管理。供应商配备的机关非执法类辅助性服务人员要经过礼仪礼貌、行为规范、税收基础知识、税务部门规章制度、业务操作流程的系统培训，确保符合关于税收业务、技能、特殊服务要求；机关非执法类辅助性服务人员要按照采购人的服务标准、服务规范、服务质量等做好服务及管理工作。在合同履行期内，供应商若发生政治事件、重大舆情及涉黑涉恶等事件，非执法类辅助性服务人员发生严重泄密事件等，采购人有权终止合同，由供应商承担相应法律责任。</w:t>
      </w:r>
    </w:p>
    <w:p>
      <w:pPr>
        <w:spacing w:line="360" w:lineRule="auto"/>
        <w:ind w:firstLine="420" w:firstLineChars="200"/>
        <w:jc w:val="both"/>
        <w:outlineLvl w:val="0"/>
        <w:rPr>
          <w:rFonts w:hint="eastAsia" w:ascii="宋体" w:hAnsi="宋体" w:eastAsia="宋体" w:cs="宋体"/>
          <w:kern w:val="0"/>
          <w:sz w:val="21"/>
          <w:szCs w:val="21"/>
          <w:highlight w:val="none"/>
          <w:lang w:eastAsia="en-US"/>
        </w:rPr>
      </w:pPr>
      <w:r>
        <w:rPr>
          <w:rFonts w:hint="eastAsia" w:ascii="宋体" w:hAnsi="宋体" w:eastAsia="宋体" w:cs="宋体"/>
          <w:kern w:val="0"/>
          <w:sz w:val="21"/>
          <w:szCs w:val="21"/>
          <w:highlight w:val="none"/>
          <w:lang w:eastAsia="en-US"/>
        </w:rPr>
        <w:t>4.供应商应于合同生效之日起实现对该项目的有效接管，确保工作衔接顺畅、运转有序。</w:t>
      </w:r>
      <w:r>
        <w:rPr>
          <w:rFonts w:hint="eastAsia" w:ascii="宋体" w:hAnsi="宋体" w:eastAsia="宋体" w:cs="宋体"/>
          <w:kern w:val="0"/>
          <w:sz w:val="21"/>
          <w:szCs w:val="21"/>
          <w:highlight w:val="none"/>
          <w:lang w:eastAsia="zh-CN"/>
        </w:rPr>
        <w:t>对投入本项目人员需</w:t>
      </w:r>
      <w:r>
        <w:rPr>
          <w:rFonts w:hint="eastAsia" w:ascii="宋体" w:hAnsi="宋体" w:eastAsia="宋体" w:cs="宋体"/>
          <w:kern w:val="0"/>
          <w:sz w:val="21"/>
          <w:szCs w:val="21"/>
          <w:highlight w:val="none"/>
          <w:lang w:eastAsia="en-US"/>
        </w:rPr>
        <w:t>经培训到位上岗后，未经采购人同意，不得进行更换。对不能胜任工作或出现重大过错的服务人员，应按照采购人的要求及时予以更换，更换服务人员涉及的各项费用及劳动补偿均由供应商承担。因供应商原因造成服务不到位，给采购人造成的损失，采购人有权要求供应商进行整改,由此造成的损失由供应商负责赔偿；若供应商多次整改不到位，采购人有权解除合同。</w:t>
      </w:r>
    </w:p>
    <w:p>
      <w:pPr>
        <w:spacing w:line="360" w:lineRule="auto"/>
        <w:ind w:firstLine="420" w:firstLineChars="200"/>
        <w:jc w:val="both"/>
        <w:outlineLvl w:val="0"/>
        <w:rPr>
          <w:rFonts w:hint="eastAsia" w:ascii="宋体" w:hAnsi="宋体" w:eastAsia="宋体" w:cs="宋体"/>
          <w:kern w:val="0"/>
          <w:sz w:val="21"/>
          <w:szCs w:val="21"/>
          <w:highlight w:val="none"/>
          <w:lang w:eastAsia="en-US"/>
        </w:rPr>
      </w:pPr>
      <w:r>
        <w:rPr>
          <w:rFonts w:hint="eastAsia" w:ascii="宋体" w:hAnsi="宋体" w:eastAsia="宋体" w:cs="宋体"/>
          <w:kern w:val="0"/>
          <w:sz w:val="21"/>
          <w:szCs w:val="21"/>
          <w:highlight w:val="none"/>
          <w:lang w:eastAsia="en-US"/>
        </w:rPr>
        <w:t>5.</w:t>
      </w:r>
      <w:r>
        <w:rPr>
          <w:rFonts w:hint="eastAsia" w:ascii="宋体" w:hAnsi="宋体" w:eastAsia="宋体" w:cs="宋体"/>
          <w:kern w:val="0"/>
          <w:sz w:val="21"/>
          <w:szCs w:val="21"/>
          <w:highlight w:val="none"/>
          <w:lang w:eastAsia="zh-CN"/>
        </w:rPr>
        <w:t>对投入本项目的人员</w:t>
      </w:r>
      <w:r>
        <w:rPr>
          <w:rFonts w:hint="eastAsia" w:ascii="宋体" w:hAnsi="宋体" w:eastAsia="宋体" w:cs="宋体"/>
          <w:kern w:val="0"/>
          <w:sz w:val="21"/>
          <w:szCs w:val="21"/>
          <w:highlight w:val="none"/>
          <w:lang w:eastAsia="en-US"/>
        </w:rPr>
        <w:t>在采购人场所服务期间应遵守职业规范和采购人有关规定，因合同范围内正常工作、意外和个人原因导致的</w:t>
      </w:r>
      <w:r>
        <w:rPr>
          <w:rFonts w:hint="eastAsia" w:ascii="宋体" w:hAnsi="宋体" w:eastAsia="宋体" w:cs="宋体"/>
          <w:kern w:val="0"/>
          <w:sz w:val="21"/>
          <w:szCs w:val="21"/>
          <w:highlight w:val="none"/>
          <w:lang w:eastAsia="zh-CN"/>
        </w:rPr>
        <w:t>投入本项目人员</w:t>
      </w:r>
      <w:r>
        <w:rPr>
          <w:rFonts w:hint="eastAsia" w:ascii="宋体" w:hAnsi="宋体" w:eastAsia="宋体" w:cs="宋体"/>
          <w:kern w:val="0"/>
          <w:sz w:val="21"/>
          <w:szCs w:val="21"/>
          <w:highlight w:val="none"/>
          <w:lang w:eastAsia="en-US"/>
        </w:rPr>
        <w:t>人身损害由供应商负责赔偿，由此给采购人造成损失的，供应商应当赔偿采购人全部损失。</w:t>
      </w:r>
      <w:r>
        <w:rPr>
          <w:rFonts w:hint="eastAsia" w:ascii="宋体" w:hAnsi="宋体" w:eastAsia="宋体" w:cs="宋体"/>
          <w:kern w:val="0"/>
          <w:sz w:val="21"/>
          <w:szCs w:val="21"/>
          <w:highlight w:val="none"/>
          <w:lang w:eastAsia="zh-CN"/>
        </w:rPr>
        <w:t>投入本项目人员</w:t>
      </w:r>
      <w:r>
        <w:rPr>
          <w:rFonts w:hint="eastAsia" w:ascii="宋体" w:hAnsi="宋体" w:eastAsia="宋体" w:cs="宋体"/>
          <w:kern w:val="0"/>
          <w:sz w:val="21"/>
          <w:szCs w:val="21"/>
          <w:highlight w:val="none"/>
          <w:lang w:eastAsia="en-US"/>
        </w:rPr>
        <w:t>伤残疾病等费用均由供应商负担。</w:t>
      </w:r>
      <w:r>
        <w:rPr>
          <w:rFonts w:hint="eastAsia" w:ascii="宋体" w:hAnsi="宋体" w:eastAsia="宋体" w:cs="宋体"/>
          <w:kern w:val="0"/>
          <w:sz w:val="21"/>
          <w:szCs w:val="21"/>
          <w:highlight w:val="none"/>
          <w:lang w:eastAsia="zh-CN"/>
        </w:rPr>
        <w:t>投入本项目人员</w:t>
      </w:r>
      <w:r>
        <w:rPr>
          <w:rFonts w:hint="eastAsia" w:ascii="宋体" w:hAnsi="宋体" w:eastAsia="宋体" w:cs="宋体"/>
          <w:kern w:val="0"/>
          <w:sz w:val="21"/>
          <w:szCs w:val="21"/>
          <w:highlight w:val="none"/>
          <w:lang w:eastAsia="en-US"/>
        </w:rPr>
        <w:t>在执行服务中造成他人人身伤亡、财产损失的，由供应商负责处理并承担相关赔偿及法律责任。</w:t>
      </w:r>
    </w:p>
    <w:p>
      <w:pPr>
        <w:spacing w:line="360" w:lineRule="auto"/>
        <w:ind w:firstLine="420" w:firstLineChars="200"/>
        <w:jc w:val="both"/>
        <w:outlineLvl w:val="0"/>
        <w:rPr>
          <w:rFonts w:hint="eastAsia" w:ascii="宋体" w:hAnsi="宋体" w:eastAsia="宋体" w:cs="宋体"/>
          <w:kern w:val="0"/>
          <w:sz w:val="21"/>
          <w:szCs w:val="21"/>
          <w:highlight w:val="none"/>
          <w:lang w:eastAsia="en-US"/>
        </w:rPr>
      </w:pPr>
      <w:r>
        <w:rPr>
          <w:rFonts w:hint="eastAsia" w:ascii="宋体" w:hAnsi="宋体" w:eastAsia="宋体" w:cs="宋体"/>
          <w:kern w:val="0"/>
          <w:sz w:val="21"/>
          <w:szCs w:val="21"/>
          <w:highlight w:val="none"/>
          <w:lang w:eastAsia="en-US"/>
        </w:rPr>
        <w:t>6.供应商应采取有力措施确保该项目顺利运转，确保各项工作扎实到位：</w:t>
      </w:r>
    </w:p>
    <w:p>
      <w:pPr>
        <w:spacing w:line="360" w:lineRule="auto"/>
        <w:ind w:firstLine="420" w:firstLineChars="200"/>
        <w:jc w:val="both"/>
        <w:outlineLvl w:val="0"/>
        <w:rPr>
          <w:rFonts w:hint="eastAsia" w:ascii="宋体" w:hAnsi="宋体" w:eastAsia="宋体" w:cs="宋体"/>
          <w:kern w:val="0"/>
          <w:sz w:val="21"/>
          <w:szCs w:val="21"/>
          <w:highlight w:val="none"/>
          <w:lang w:eastAsia="en-US"/>
        </w:rPr>
      </w:pPr>
      <w:r>
        <w:rPr>
          <w:rFonts w:hint="eastAsia" w:ascii="宋体" w:hAnsi="宋体" w:eastAsia="宋体" w:cs="宋体"/>
          <w:kern w:val="0"/>
          <w:sz w:val="21"/>
          <w:szCs w:val="21"/>
          <w:highlight w:val="none"/>
          <w:lang w:eastAsia="en-US"/>
        </w:rPr>
        <w:t>（1）保证</w:t>
      </w:r>
      <w:r>
        <w:rPr>
          <w:rFonts w:hint="eastAsia" w:ascii="宋体" w:hAnsi="宋体" w:eastAsia="宋体" w:cs="宋体"/>
          <w:kern w:val="0"/>
          <w:sz w:val="21"/>
          <w:szCs w:val="21"/>
          <w:highlight w:val="none"/>
          <w:lang w:eastAsia="zh-CN"/>
        </w:rPr>
        <w:t>投入本项目人员</w:t>
      </w:r>
      <w:r>
        <w:rPr>
          <w:rFonts w:hint="eastAsia" w:ascii="宋体" w:hAnsi="宋体" w:eastAsia="宋体" w:cs="宋体"/>
          <w:kern w:val="0"/>
          <w:sz w:val="21"/>
          <w:szCs w:val="21"/>
          <w:highlight w:val="none"/>
          <w:lang w:eastAsia="en-US"/>
        </w:rPr>
        <w:t>能严格按采购人要求开展工作，并保证工作的及时性、准确性；</w:t>
      </w:r>
    </w:p>
    <w:p>
      <w:pPr>
        <w:spacing w:line="360" w:lineRule="auto"/>
        <w:ind w:firstLine="420" w:firstLineChars="200"/>
        <w:jc w:val="both"/>
        <w:outlineLvl w:val="0"/>
        <w:rPr>
          <w:rFonts w:hint="eastAsia" w:ascii="宋体" w:hAnsi="宋体" w:eastAsia="宋体" w:cs="宋体"/>
          <w:kern w:val="0"/>
          <w:sz w:val="21"/>
          <w:szCs w:val="21"/>
          <w:highlight w:val="none"/>
          <w:lang w:eastAsia="en-US"/>
        </w:rPr>
      </w:pPr>
      <w:r>
        <w:rPr>
          <w:rFonts w:hint="eastAsia" w:ascii="宋体" w:hAnsi="宋体" w:eastAsia="宋体" w:cs="宋体"/>
          <w:kern w:val="0"/>
          <w:sz w:val="21"/>
          <w:szCs w:val="21"/>
          <w:highlight w:val="none"/>
          <w:lang w:eastAsia="en-US"/>
        </w:rPr>
        <w:t>（2）</w:t>
      </w:r>
      <w:r>
        <w:rPr>
          <w:rFonts w:hint="eastAsia" w:ascii="宋体" w:hAnsi="宋体" w:eastAsia="宋体" w:cs="宋体"/>
          <w:kern w:val="0"/>
          <w:sz w:val="21"/>
          <w:szCs w:val="21"/>
          <w:highlight w:val="none"/>
          <w:lang w:eastAsia="zh-CN"/>
        </w:rPr>
        <w:t>投入本项目人员</w:t>
      </w:r>
      <w:r>
        <w:rPr>
          <w:rFonts w:hint="eastAsia" w:ascii="宋体" w:hAnsi="宋体" w:eastAsia="宋体" w:cs="宋体"/>
          <w:kern w:val="0"/>
          <w:sz w:val="21"/>
          <w:szCs w:val="21"/>
          <w:highlight w:val="none"/>
          <w:lang w:eastAsia="en-US"/>
        </w:rPr>
        <w:t>不得发生弄虚作假行为及责任纠纷；</w:t>
      </w:r>
    </w:p>
    <w:p>
      <w:pPr>
        <w:spacing w:line="360" w:lineRule="auto"/>
        <w:ind w:firstLine="420" w:firstLineChars="200"/>
        <w:jc w:val="both"/>
        <w:outlineLvl w:val="0"/>
        <w:rPr>
          <w:rFonts w:hint="eastAsia" w:ascii="宋体" w:hAnsi="宋体" w:eastAsia="宋体" w:cs="宋体"/>
          <w:kern w:val="0"/>
          <w:sz w:val="21"/>
          <w:szCs w:val="21"/>
          <w:highlight w:val="none"/>
          <w:lang w:eastAsia="en-US"/>
        </w:rPr>
      </w:pPr>
      <w:r>
        <w:rPr>
          <w:rFonts w:hint="eastAsia" w:ascii="宋体" w:hAnsi="宋体" w:eastAsia="宋体" w:cs="宋体"/>
          <w:kern w:val="0"/>
          <w:sz w:val="21"/>
          <w:szCs w:val="21"/>
          <w:highlight w:val="none"/>
          <w:lang w:eastAsia="en-US"/>
        </w:rPr>
        <w:t>（3）</w:t>
      </w:r>
      <w:r>
        <w:rPr>
          <w:rFonts w:hint="eastAsia" w:ascii="宋体" w:hAnsi="宋体" w:eastAsia="宋体" w:cs="宋体"/>
          <w:kern w:val="0"/>
          <w:sz w:val="21"/>
          <w:szCs w:val="21"/>
          <w:highlight w:val="none"/>
          <w:lang w:eastAsia="zh-CN"/>
        </w:rPr>
        <w:t>投入本项目人员</w:t>
      </w:r>
      <w:r>
        <w:rPr>
          <w:rFonts w:hint="eastAsia" w:ascii="宋体" w:hAnsi="宋体" w:eastAsia="宋体" w:cs="宋体"/>
          <w:kern w:val="0"/>
          <w:sz w:val="21"/>
          <w:szCs w:val="21"/>
          <w:highlight w:val="none"/>
          <w:lang w:eastAsia="en-US"/>
        </w:rPr>
        <w:t>须按照采购人规定统一着装，挂牌上岗，文明服务，礼仪规范；</w:t>
      </w:r>
    </w:p>
    <w:p>
      <w:pPr>
        <w:spacing w:line="360" w:lineRule="auto"/>
        <w:ind w:firstLine="420" w:firstLineChars="200"/>
        <w:jc w:val="both"/>
        <w:outlineLvl w:val="0"/>
        <w:rPr>
          <w:rFonts w:hint="eastAsia" w:ascii="宋体" w:hAnsi="宋体" w:eastAsia="宋体" w:cs="宋体"/>
          <w:kern w:val="0"/>
          <w:sz w:val="21"/>
          <w:szCs w:val="21"/>
          <w:highlight w:val="none"/>
          <w:lang w:eastAsia="en-US"/>
        </w:rPr>
      </w:pPr>
      <w:r>
        <w:rPr>
          <w:rFonts w:hint="eastAsia" w:ascii="宋体" w:hAnsi="宋体" w:eastAsia="宋体" w:cs="宋体"/>
          <w:kern w:val="0"/>
          <w:sz w:val="21"/>
          <w:szCs w:val="21"/>
          <w:highlight w:val="none"/>
          <w:lang w:eastAsia="en-US"/>
        </w:rPr>
        <w:t>（4）非</w:t>
      </w:r>
      <w:r>
        <w:rPr>
          <w:rFonts w:hint="eastAsia" w:ascii="宋体" w:hAnsi="宋体" w:eastAsia="宋体" w:cs="宋体"/>
          <w:kern w:val="0"/>
          <w:sz w:val="21"/>
          <w:szCs w:val="21"/>
          <w:highlight w:val="none"/>
          <w:lang w:eastAsia="zh-CN"/>
        </w:rPr>
        <w:t>投入本项目人员</w:t>
      </w:r>
      <w:r>
        <w:rPr>
          <w:rFonts w:hint="eastAsia" w:ascii="宋体" w:hAnsi="宋体" w:eastAsia="宋体" w:cs="宋体"/>
          <w:kern w:val="0"/>
          <w:sz w:val="21"/>
          <w:szCs w:val="21"/>
          <w:highlight w:val="none"/>
          <w:lang w:eastAsia="en-US"/>
        </w:rPr>
        <w:t>与供应商发生劳动纠纷的（含工伤事故），产生的所有的法律责任由中标人承担，由此造成采购人损失的，由供应商承担赔偿责任；</w:t>
      </w:r>
    </w:p>
    <w:p>
      <w:pPr>
        <w:spacing w:line="360" w:lineRule="auto"/>
        <w:ind w:firstLine="420" w:firstLineChars="200"/>
        <w:jc w:val="both"/>
        <w:outlineLvl w:val="0"/>
        <w:rPr>
          <w:rFonts w:hint="eastAsia" w:ascii="宋体" w:hAnsi="宋体" w:eastAsia="宋体" w:cs="宋体"/>
          <w:kern w:val="0"/>
          <w:sz w:val="21"/>
          <w:szCs w:val="21"/>
          <w:highlight w:val="none"/>
          <w:lang w:eastAsia="en-US"/>
        </w:rPr>
      </w:pPr>
      <w:r>
        <w:rPr>
          <w:rFonts w:hint="eastAsia" w:ascii="宋体" w:hAnsi="宋体" w:eastAsia="宋体" w:cs="宋体"/>
          <w:kern w:val="0"/>
          <w:sz w:val="21"/>
          <w:szCs w:val="21"/>
          <w:highlight w:val="none"/>
          <w:lang w:eastAsia="en-US"/>
        </w:rPr>
        <w:t>（5）供应商应对</w:t>
      </w:r>
      <w:r>
        <w:rPr>
          <w:rFonts w:hint="eastAsia" w:ascii="宋体" w:hAnsi="宋体" w:eastAsia="宋体" w:cs="宋体"/>
          <w:kern w:val="0"/>
          <w:sz w:val="21"/>
          <w:szCs w:val="21"/>
          <w:highlight w:val="none"/>
          <w:lang w:eastAsia="zh-CN"/>
        </w:rPr>
        <w:t>投入本项目人员</w:t>
      </w:r>
      <w:r>
        <w:rPr>
          <w:rFonts w:hint="eastAsia" w:ascii="宋体" w:hAnsi="宋体" w:eastAsia="宋体" w:cs="宋体"/>
          <w:kern w:val="0"/>
          <w:sz w:val="21"/>
          <w:szCs w:val="21"/>
          <w:highlight w:val="none"/>
          <w:lang w:eastAsia="en-US"/>
        </w:rPr>
        <w:t>的轮岗机制应提前做好处理方案，按照采购人需求明确调整到位的时间，做好规范轮岗、离岗交接工作；</w:t>
      </w:r>
    </w:p>
    <w:p>
      <w:pPr>
        <w:spacing w:line="360" w:lineRule="auto"/>
        <w:ind w:firstLine="420" w:firstLineChars="200"/>
        <w:jc w:val="both"/>
        <w:outlineLvl w:val="0"/>
        <w:rPr>
          <w:rFonts w:hint="eastAsia"/>
          <w:highlight w:val="none"/>
          <w:lang w:eastAsia="en-US"/>
        </w:rPr>
      </w:pPr>
      <w:r>
        <w:rPr>
          <w:rFonts w:hint="eastAsia" w:ascii="宋体" w:hAnsi="宋体" w:eastAsia="宋体" w:cs="宋体"/>
          <w:kern w:val="0"/>
          <w:sz w:val="21"/>
          <w:szCs w:val="21"/>
          <w:highlight w:val="none"/>
          <w:lang w:eastAsia="en-US"/>
        </w:rPr>
        <w:t>7.供应商应全面保障</w:t>
      </w:r>
      <w:r>
        <w:rPr>
          <w:rFonts w:hint="eastAsia" w:ascii="宋体" w:hAnsi="宋体" w:eastAsia="宋体" w:cs="宋体"/>
          <w:kern w:val="0"/>
          <w:sz w:val="21"/>
          <w:szCs w:val="21"/>
          <w:highlight w:val="none"/>
          <w:lang w:eastAsia="zh-CN"/>
        </w:rPr>
        <w:t>投入本项目</w:t>
      </w:r>
      <w:r>
        <w:rPr>
          <w:rFonts w:hint="eastAsia" w:ascii="宋体" w:hAnsi="宋体" w:eastAsia="宋体" w:cs="宋体"/>
          <w:kern w:val="0"/>
          <w:sz w:val="21"/>
          <w:szCs w:val="21"/>
          <w:highlight w:val="none"/>
          <w:lang w:eastAsia="en-US"/>
        </w:rPr>
        <w:t>人员</w:t>
      </w:r>
      <w:r>
        <w:rPr>
          <w:rFonts w:hint="eastAsia" w:ascii="宋体" w:hAnsi="宋体" w:eastAsia="宋体" w:cs="宋体"/>
          <w:kern w:val="0"/>
          <w:sz w:val="21"/>
          <w:szCs w:val="21"/>
          <w:highlight w:val="none"/>
          <w:lang w:eastAsia="zh-CN"/>
        </w:rPr>
        <w:t>的</w:t>
      </w:r>
      <w:r>
        <w:rPr>
          <w:rFonts w:hint="eastAsia" w:ascii="宋体" w:hAnsi="宋体" w:eastAsia="宋体" w:cs="宋体"/>
          <w:kern w:val="0"/>
          <w:sz w:val="21"/>
          <w:szCs w:val="21"/>
          <w:highlight w:val="none"/>
          <w:lang w:eastAsia="en-US"/>
        </w:rPr>
        <w:t>合法权益，</w:t>
      </w:r>
      <w:r>
        <w:rPr>
          <w:rFonts w:hint="eastAsia" w:ascii="宋体" w:hAnsi="宋体" w:eastAsia="宋体" w:cs="宋体"/>
          <w:kern w:val="0"/>
          <w:sz w:val="21"/>
          <w:szCs w:val="21"/>
          <w:highlight w:val="none"/>
          <w:lang w:eastAsia="zh-CN"/>
        </w:rPr>
        <w:t>投入本项目人员</w:t>
      </w:r>
      <w:r>
        <w:rPr>
          <w:rFonts w:hint="eastAsia" w:ascii="宋体" w:hAnsi="宋体" w:eastAsia="宋体" w:cs="宋体"/>
          <w:kern w:val="0"/>
          <w:sz w:val="21"/>
          <w:szCs w:val="21"/>
          <w:highlight w:val="none"/>
          <w:lang w:eastAsia="en-US"/>
        </w:rPr>
        <w:t>应发工资参考同行业工资水平。中标价包含完成本项目所需的成本、劳务、</w:t>
      </w:r>
      <w:r>
        <w:rPr>
          <w:rFonts w:hint="eastAsia" w:ascii="宋体" w:hAnsi="宋体" w:eastAsia="宋体" w:cs="宋体"/>
          <w:kern w:val="0"/>
          <w:sz w:val="21"/>
          <w:szCs w:val="21"/>
          <w:highlight w:val="none"/>
          <w:lang w:eastAsia="zh-CN"/>
        </w:rPr>
        <w:t>投入本项目人员</w:t>
      </w:r>
      <w:r>
        <w:rPr>
          <w:rFonts w:hint="eastAsia" w:ascii="宋体" w:hAnsi="宋体" w:eastAsia="宋体" w:cs="宋体"/>
          <w:kern w:val="0"/>
          <w:sz w:val="21"/>
          <w:szCs w:val="21"/>
          <w:highlight w:val="none"/>
          <w:lang w:eastAsia="en-US"/>
        </w:rPr>
        <w:t>费用（供应商支付</w:t>
      </w:r>
      <w:r>
        <w:rPr>
          <w:rFonts w:hint="eastAsia" w:ascii="宋体" w:hAnsi="宋体" w:eastAsia="宋体" w:cs="宋体"/>
          <w:kern w:val="0"/>
          <w:sz w:val="21"/>
          <w:szCs w:val="21"/>
          <w:highlight w:val="none"/>
          <w:lang w:eastAsia="zh-CN"/>
        </w:rPr>
        <w:t>投入本项目人员</w:t>
      </w:r>
      <w:r>
        <w:rPr>
          <w:rFonts w:hint="eastAsia" w:ascii="宋体" w:hAnsi="宋体" w:eastAsia="宋体" w:cs="宋体"/>
          <w:kern w:val="0"/>
          <w:sz w:val="21"/>
          <w:szCs w:val="21"/>
          <w:highlight w:val="none"/>
          <w:lang w:eastAsia="en-US"/>
        </w:rPr>
        <w:t>薪酬必须符合国家各项规定，包括最低保障工资的规定、按要求为非</w:t>
      </w:r>
      <w:r>
        <w:rPr>
          <w:rFonts w:hint="eastAsia" w:ascii="宋体" w:hAnsi="宋体" w:eastAsia="宋体" w:cs="宋体"/>
          <w:kern w:val="0"/>
          <w:sz w:val="21"/>
          <w:szCs w:val="21"/>
          <w:highlight w:val="none"/>
          <w:lang w:eastAsia="zh-CN"/>
        </w:rPr>
        <w:t>投入本项目人员</w:t>
      </w:r>
      <w:r>
        <w:rPr>
          <w:rFonts w:hint="eastAsia" w:ascii="宋体" w:hAnsi="宋体" w:eastAsia="宋体" w:cs="宋体"/>
          <w:kern w:val="0"/>
          <w:sz w:val="21"/>
          <w:szCs w:val="21"/>
          <w:highlight w:val="none"/>
          <w:lang w:eastAsia="en-US"/>
        </w:rPr>
        <w:t>缴纳社会保险等）、意外保险、绩效工资、加班费、相关福利支出、培训费、体检费、服装费、管理费、维护费、质量保证、利润、税金、其他等各种费用，以及合同约定范围内除不可抗力以外的其他一切为本项目所需的全部费用。采购人因政策、机构调整等原因导致不能继续履行合同的，可终止本合同，无需承担违约责任，供应商负责做好非执法类辅助性服务人员的善后工作，包括但不限于经济赔偿等。</w:t>
      </w:r>
      <w:bookmarkEnd w:id="154"/>
      <w:bookmarkEnd w:id="155"/>
    </w:p>
    <w:p>
      <w:pPr>
        <w:spacing w:line="360" w:lineRule="auto"/>
        <w:jc w:val="center"/>
        <w:outlineLvl w:val="0"/>
        <w:rPr>
          <w:rFonts w:hint="eastAsia" w:ascii="宋体" w:hAnsi="宋体" w:eastAsia="宋体" w:cs="宋体"/>
          <w:b/>
          <w:bCs/>
          <w:kern w:val="36"/>
          <w:sz w:val="21"/>
          <w:szCs w:val="21"/>
        </w:rPr>
      </w:pPr>
      <w:bookmarkStart w:id="156" w:name="_Toc25371"/>
      <w:bookmarkStart w:id="157" w:name="_Toc3536"/>
      <w:bookmarkStart w:id="158" w:name="_Toc256000027"/>
      <w:r>
        <w:rPr>
          <w:rFonts w:hint="eastAsia" w:ascii="宋体" w:hAnsi="宋体" w:eastAsia="宋体" w:cs="宋体"/>
          <w:b/>
          <w:bCs/>
          <w:kern w:val="36"/>
          <w:sz w:val="21"/>
          <w:szCs w:val="21"/>
        </w:rPr>
        <w:t>6风险管控要求</w:t>
      </w:r>
      <w:bookmarkEnd w:id="156"/>
      <w:bookmarkEnd w:id="157"/>
      <w:bookmarkEnd w:id="158"/>
    </w:p>
    <w:p>
      <w:pPr>
        <w:widowControl/>
        <w:spacing w:line="360" w:lineRule="auto"/>
        <w:ind w:firstLine="420" w:firstLineChars="200"/>
        <w:jc w:val="both"/>
        <w:outlineLvl w:val="1"/>
        <w:rPr>
          <w:rFonts w:hint="eastAsia" w:ascii="宋体" w:hAnsi="宋体" w:eastAsia="宋体" w:cs="宋体"/>
          <w:kern w:val="0"/>
          <w:sz w:val="21"/>
          <w:szCs w:val="21"/>
        </w:rPr>
      </w:pPr>
      <w:bookmarkStart w:id="159" w:name="_Toc26023"/>
      <w:bookmarkStart w:id="160" w:name="_Toc19762"/>
      <w:r>
        <w:rPr>
          <w:rFonts w:hint="eastAsia" w:ascii="宋体" w:hAnsi="宋体" w:eastAsia="宋体" w:cs="宋体"/>
          <w:kern w:val="0"/>
          <w:sz w:val="21"/>
          <w:szCs w:val="21"/>
        </w:rPr>
        <w:t>供应商应建立一套全面的风险管理体系，识别、评估、应对和监控合同履行过程中的各类风险，具体包括风险识别、评估结果、采取的应对措施及效果。</w:t>
      </w:r>
      <w:bookmarkEnd w:id="159"/>
      <w:bookmarkEnd w:id="160"/>
    </w:p>
    <w:p>
      <w:pPr>
        <w:widowControl/>
        <w:spacing w:line="360" w:lineRule="auto"/>
        <w:ind w:firstLine="420" w:firstLineChars="200"/>
        <w:jc w:val="both"/>
        <w:outlineLvl w:val="1"/>
        <w:rPr>
          <w:rFonts w:hint="eastAsia" w:ascii="宋体" w:hAnsi="宋体" w:eastAsia="宋体" w:cs="宋体"/>
          <w:kern w:val="0"/>
          <w:sz w:val="21"/>
          <w:szCs w:val="21"/>
        </w:rPr>
      </w:pPr>
      <w:bookmarkStart w:id="161" w:name="_Toc17096"/>
      <w:bookmarkStart w:id="162" w:name="_Toc3275"/>
      <w:r>
        <w:rPr>
          <w:rFonts w:hint="eastAsia" w:ascii="宋体" w:hAnsi="宋体" w:eastAsia="宋体" w:cs="宋体"/>
          <w:kern w:val="0"/>
          <w:sz w:val="21"/>
          <w:szCs w:val="21"/>
        </w:rPr>
        <w:t>合同履行过程中，如出现国家政策变化、实施环境变化、重大技术变化等因素而导致合同履行出现风险，中标人必须及时与采购人沟通协商，对相关风险及时作出应对，避免出现损害国家利益和社会公共利益的情形。</w:t>
      </w:r>
      <w:bookmarkEnd w:id="161"/>
      <w:bookmarkEnd w:id="162"/>
    </w:p>
    <w:p>
      <w:pPr>
        <w:spacing w:line="360" w:lineRule="auto"/>
        <w:jc w:val="center"/>
        <w:outlineLvl w:val="0"/>
        <w:rPr>
          <w:rFonts w:hint="eastAsia" w:ascii="宋体" w:hAnsi="宋体" w:eastAsia="宋体" w:cs="宋体"/>
          <w:b/>
          <w:bCs/>
          <w:kern w:val="36"/>
          <w:sz w:val="21"/>
          <w:szCs w:val="21"/>
          <w:lang w:eastAsia="en-US"/>
        </w:rPr>
      </w:pPr>
      <w:bookmarkStart w:id="163" w:name="_Toc32533"/>
      <w:bookmarkStart w:id="164" w:name="_Toc256000028"/>
      <w:bookmarkStart w:id="165" w:name="_Toc24775"/>
      <w:r>
        <w:rPr>
          <w:rFonts w:hint="eastAsia" w:ascii="宋体" w:hAnsi="宋体" w:eastAsia="宋体" w:cs="宋体"/>
          <w:b/>
          <w:bCs/>
          <w:kern w:val="36"/>
          <w:sz w:val="21"/>
          <w:szCs w:val="21"/>
          <w:lang w:eastAsia="en-US"/>
        </w:rPr>
        <w:t>7履约验收要求</w:t>
      </w:r>
      <w:bookmarkEnd w:id="163"/>
      <w:bookmarkEnd w:id="164"/>
      <w:bookmarkEnd w:id="165"/>
    </w:p>
    <w:p>
      <w:pPr>
        <w:widowControl/>
        <w:spacing w:line="360" w:lineRule="auto"/>
        <w:jc w:val="left"/>
        <w:outlineLvl w:val="0"/>
        <w:rPr>
          <w:rFonts w:hint="eastAsia" w:ascii="宋体" w:hAnsi="宋体" w:eastAsia="宋体" w:cs="宋体"/>
          <w:b/>
          <w:bCs/>
          <w:kern w:val="0"/>
          <w:sz w:val="21"/>
          <w:szCs w:val="21"/>
          <w:lang w:eastAsia="en-US"/>
        </w:rPr>
      </w:pPr>
      <w:bookmarkStart w:id="166" w:name="_Toc256000029"/>
      <w:bookmarkStart w:id="167" w:name="_Toc6284"/>
      <w:bookmarkStart w:id="168" w:name="_Toc31641"/>
      <w:r>
        <w:rPr>
          <w:rFonts w:hint="eastAsia" w:ascii="宋体" w:hAnsi="宋体" w:eastAsia="宋体" w:cs="宋体"/>
          <w:b/>
          <w:bCs/>
          <w:kern w:val="0"/>
          <w:sz w:val="21"/>
          <w:szCs w:val="21"/>
          <w:lang w:eastAsia="en-US"/>
        </w:rPr>
        <w:t>7.1总体要求</w:t>
      </w:r>
      <w:bookmarkEnd w:id="166"/>
      <w:bookmarkEnd w:id="167"/>
      <w:bookmarkEnd w:id="168"/>
    </w:p>
    <w:tbl>
      <w:tblPr>
        <w:tblStyle w:val="20"/>
        <w:tblW w:w="5000" w:type="pct"/>
        <w:tblInd w:w="30" w:type="dxa"/>
        <w:tblLayout w:type="autofit"/>
        <w:tblCellMar>
          <w:top w:w="15" w:type="dxa"/>
          <w:left w:w="15" w:type="dxa"/>
          <w:bottom w:w="15" w:type="dxa"/>
          <w:right w:w="15" w:type="dxa"/>
        </w:tblCellMar>
      </w:tblPr>
      <w:tblGrid>
        <w:gridCol w:w="1902"/>
        <w:gridCol w:w="6448"/>
      </w:tblGrid>
      <w:tr>
        <w:tblPrEx>
          <w:tblCellMar>
            <w:top w:w="15" w:type="dxa"/>
            <w:left w:w="15" w:type="dxa"/>
            <w:bottom w:w="15" w:type="dxa"/>
            <w:right w:w="15" w:type="dxa"/>
          </w:tblCellMar>
        </w:tblPrEx>
        <w:tc>
          <w:tcPr>
            <w:tcW w:w="1139"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keepNext w:val="0"/>
              <w:keepLines w:val="0"/>
              <w:widowControl/>
              <w:suppressLineNumbers w:val="0"/>
              <w:spacing w:before="0" w:beforeAutospacing="0" w:after="0" w:afterAutospacing="0"/>
              <w:ind w:left="0" w:right="0"/>
              <w:jc w:val="center"/>
              <w:rPr>
                <w:rFonts w:hint="eastAsia" w:ascii="宋体" w:hAnsi="宋体" w:eastAsia="宋体" w:cs="宋体"/>
                <w:b/>
                <w:bCs/>
                <w:i w:val="0"/>
                <w:iCs w:val="0"/>
                <w:smallCaps w:val="0"/>
                <w:color w:val="000000"/>
                <w:kern w:val="0"/>
                <w:sz w:val="21"/>
                <w:szCs w:val="21"/>
                <w:lang w:eastAsia="en-US"/>
              </w:rPr>
            </w:pPr>
            <w:r>
              <w:rPr>
                <w:rFonts w:hint="eastAsia" w:ascii="宋体" w:hAnsi="宋体" w:eastAsia="宋体" w:cs="宋体"/>
                <w:b/>
                <w:bCs/>
                <w:i w:val="0"/>
                <w:iCs w:val="0"/>
                <w:smallCaps w:val="0"/>
                <w:color w:val="000000"/>
                <w:kern w:val="0"/>
                <w:sz w:val="21"/>
                <w:szCs w:val="21"/>
                <w:lang w:eastAsia="en-US"/>
              </w:rPr>
              <w:t>验收名称</w:t>
            </w:r>
          </w:p>
        </w:tc>
        <w:tc>
          <w:tcPr>
            <w:tcW w:w="386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keepNext w:val="0"/>
              <w:keepLines w:val="0"/>
              <w:widowControl/>
              <w:suppressLineNumbers w:val="0"/>
              <w:spacing w:before="0" w:beforeAutospacing="0" w:after="0" w:afterAutospacing="0"/>
              <w:ind w:left="0" w:right="0"/>
              <w:jc w:val="center"/>
              <w:rPr>
                <w:rFonts w:hint="eastAsia" w:ascii="宋体" w:hAnsi="宋体" w:eastAsia="宋体" w:cs="宋体"/>
                <w:b/>
                <w:bCs/>
                <w:i w:val="0"/>
                <w:iCs w:val="0"/>
                <w:smallCaps w:val="0"/>
                <w:color w:val="000000"/>
                <w:kern w:val="0"/>
                <w:sz w:val="21"/>
                <w:szCs w:val="21"/>
                <w:lang w:eastAsia="en-US"/>
              </w:rPr>
            </w:pPr>
            <w:r>
              <w:rPr>
                <w:rFonts w:hint="eastAsia" w:ascii="宋体" w:hAnsi="宋体" w:eastAsia="宋体" w:cs="宋体"/>
                <w:b/>
                <w:bCs/>
                <w:i w:val="0"/>
                <w:iCs w:val="0"/>
                <w:smallCaps w:val="0"/>
                <w:color w:val="000000"/>
                <w:kern w:val="0"/>
                <w:sz w:val="21"/>
                <w:szCs w:val="21"/>
                <w:lang w:eastAsia="en-US"/>
              </w:rPr>
              <w:t>验收要求</w:t>
            </w:r>
          </w:p>
        </w:tc>
      </w:tr>
      <w:tr>
        <w:tblPrEx>
          <w:tblCellMar>
            <w:top w:w="15" w:type="dxa"/>
            <w:left w:w="15" w:type="dxa"/>
            <w:bottom w:w="15" w:type="dxa"/>
            <w:right w:w="15" w:type="dxa"/>
          </w:tblCellMar>
        </w:tblPrEx>
        <w:tc>
          <w:tcPr>
            <w:tcW w:w="1139"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i w:val="0"/>
                <w:iCs w:val="0"/>
                <w:smallCaps w:val="0"/>
                <w:color w:val="000000"/>
                <w:kern w:val="0"/>
                <w:sz w:val="21"/>
                <w:szCs w:val="21"/>
                <w:lang w:eastAsia="en-US"/>
              </w:rPr>
            </w:pPr>
            <w:r>
              <w:rPr>
                <w:rFonts w:hint="eastAsia" w:ascii="宋体" w:hAnsi="宋体" w:eastAsia="宋体" w:cs="宋体"/>
                <w:b w:val="0"/>
                <w:bCs w:val="0"/>
                <w:i w:val="0"/>
                <w:iCs w:val="0"/>
                <w:smallCaps w:val="0"/>
                <w:color w:val="000000"/>
                <w:kern w:val="0"/>
                <w:sz w:val="21"/>
                <w:szCs w:val="21"/>
                <w:lang w:eastAsia="en-US"/>
              </w:rPr>
              <w:t>验收</w:t>
            </w:r>
          </w:p>
        </w:tc>
        <w:tc>
          <w:tcPr>
            <w:tcW w:w="386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keepNext w:val="0"/>
              <w:keepLines w:val="0"/>
              <w:widowControl/>
              <w:suppressLineNumbers w:val="0"/>
              <w:spacing w:before="0" w:beforeAutospacing="0" w:after="0" w:afterAutospacing="0"/>
              <w:ind w:left="0" w:right="0"/>
              <w:jc w:val="left"/>
              <w:rPr>
                <w:rFonts w:hint="eastAsia" w:ascii="宋体" w:hAnsi="宋体" w:eastAsia="宋体" w:cs="宋体"/>
                <w:b w:val="0"/>
                <w:bCs w:val="0"/>
                <w:i w:val="0"/>
                <w:iCs w:val="0"/>
                <w:smallCaps w:val="0"/>
                <w:color w:val="000000"/>
                <w:kern w:val="0"/>
                <w:sz w:val="21"/>
                <w:szCs w:val="21"/>
                <w:lang w:eastAsia="en-US"/>
              </w:rPr>
            </w:pPr>
            <w:r>
              <w:rPr>
                <w:rFonts w:hint="eastAsia" w:ascii="宋体" w:hAnsi="宋体" w:eastAsia="宋体" w:cs="宋体"/>
                <w:color w:val="000000"/>
                <w:kern w:val="0"/>
                <w:szCs w:val="21"/>
                <w:lang w:eastAsia="en-US"/>
              </w:rPr>
              <w:t>采购人根据中标人服务内容及国家和行业的相关标准对中标人完成工作的服务质量、技术指标、服务成果进行验收。采购人对中标人定期进行监督、记录和考核，以作为日常验收依据。中标人以月报的形式汇报日常管理、考核等工作开展情况，以备采购人监督</w:t>
            </w:r>
            <w:r>
              <w:rPr>
                <w:rFonts w:hint="eastAsia" w:ascii="宋体" w:hAnsi="宋体" w:eastAsia="宋体" w:cs="宋体"/>
                <w:color w:val="000000"/>
                <w:kern w:val="0"/>
                <w:szCs w:val="21"/>
                <w:lang w:eastAsia="zh-CN"/>
              </w:rPr>
              <w:t>。</w:t>
            </w:r>
          </w:p>
        </w:tc>
      </w:tr>
    </w:tbl>
    <w:p>
      <w:pPr>
        <w:widowControl/>
        <w:spacing w:line="360" w:lineRule="auto"/>
        <w:jc w:val="left"/>
        <w:outlineLvl w:val="0"/>
        <w:rPr>
          <w:rFonts w:hint="eastAsia" w:ascii="宋体" w:hAnsi="宋体" w:eastAsia="宋体" w:cs="宋体"/>
          <w:b/>
          <w:bCs/>
          <w:kern w:val="0"/>
          <w:sz w:val="21"/>
          <w:szCs w:val="21"/>
          <w:lang w:eastAsia="en-US"/>
        </w:rPr>
      </w:pPr>
      <w:bookmarkStart w:id="169" w:name="_Toc256000030"/>
      <w:bookmarkStart w:id="170" w:name="_Toc19943"/>
      <w:bookmarkStart w:id="171" w:name="_Toc25986"/>
      <w:r>
        <w:rPr>
          <w:rFonts w:hint="eastAsia" w:ascii="宋体" w:hAnsi="宋体" w:eastAsia="宋体" w:cs="宋体"/>
          <w:b/>
          <w:bCs/>
          <w:kern w:val="0"/>
          <w:sz w:val="21"/>
          <w:szCs w:val="21"/>
          <w:lang w:eastAsia="en-US"/>
        </w:rPr>
        <w:t>7.2具体要求</w:t>
      </w:r>
      <w:bookmarkEnd w:id="169"/>
      <w:bookmarkEnd w:id="170"/>
      <w:bookmarkEnd w:id="171"/>
    </w:p>
    <w:p>
      <w:pPr>
        <w:widowControl/>
        <w:spacing w:line="360" w:lineRule="auto"/>
        <w:ind w:firstLine="420" w:firstLineChars="200"/>
        <w:jc w:val="both"/>
        <w:outlineLvl w:val="1"/>
        <w:rPr>
          <w:rFonts w:hint="eastAsia" w:ascii="宋体" w:hAnsi="宋体" w:eastAsia="宋体" w:cs="宋体"/>
          <w:kern w:val="0"/>
          <w:szCs w:val="21"/>
        </w:rPr>
      </w:pPr>
      <w:bookmarkStart w:id="172" w:name="_Toc22207"/>
      <w:bookmarkStart w:id="173" w:name="_Toc11038"/>
      <w:r>
        <w:rPr>
          <w:rFonts w:hint="eastAsia" w:ascii="宋体" w:hAnsi="宋体" w:eastAsia="宋体" w:cs="宋体"/>
          <w:kern w:val="0"/>
          <w:szCs w:val="21"/>
        </w:rPr>
        <w:t>（一）采购人根据每个窗口每月运转情况结合考核打分情况进行项目验收及费用支付，若出现个别窗口无法运转的情况，按比例扣除相应费用后结合考核打分进行结算，次月结算上月费用。</w:t>
      </w:r>
    </w:p>
    <w:p>
      <w:pPr>
        <w:widowControl/>
        <w:spacing w:line="360" w:lineRule="auto"/>
        <w:ind w:firstLine="420" w:firstLineChars="200"/>
        <w:jc w:val="both"/>
        <w:outlineLvl w:val="1"/>
        <w:rPr>
          <w:rFonts w:hint="eastAsia" w:ascii="宋体" w:hAnsi="宋体" w:eastAsia="宋体" w:cs="宋体"/>
          <w:kern w:val="0"/>
          <w:szCs w:val="21"/>
        </w:rPr>
      </w:pPr>
      <w:r>
        <w:rPr>
          <w:rFonts w:hint="eastAsia" w:ascii="宋体" w:hAnsi="宋体" w:eastAsia="宋体" w:cs="宋体"/>
          <w:kern w:val="0"/>
          <w:szCs w:val="21"/>
        </w:rPr>
        <w:t>（二）采购人相关部门对供应商上月服务情况进行考核（结合日常监督情况），考核为百分制。考核得分≥90分，全额拨付当月服务费用；90分&gt;考核得分≥80分，只拨付当月服务费用的95%；80分＞考核得分≥70分，只拨付当月服务费用的90%；70分＞考核得分≥60 分的，只拨付当月服务费用的85%；考核得分＜60分，只拨付当月服务费用的80%。</w:t>
      </w:r>
    </w:p>
    <w:p>
      <w:pPr>
        <w:widowControl/>
        <w:spacing w:line="360" w:lineRule="auto"/>
        <w:ind w:firstLine="420" w:firstLineChars="200"/>
        <w:jc w:val="both"/>
        <w:outlineLvl w:val="1"/>
        <w:rPr>
          <w:rFonts w:hint="eastAsia" w:ascii="宋体" w:hAnsi="宋体" w:eastAsia="宋体" w:cs="宋体"/>
          <w:kern w:val="0"/>
          <w:szCs w:val="21"/>
        </w:rPr>
      </w:pPr>
      <w:r>
        <w:rPr>
          <w:rFonts w:hint="eastAsia" w:ascii="宋体" w:hAnsi="宋体" w:eastAsia="宋体" w:cs="宋体"/>
          <w:kern w:val="0"/>
          <w:szCs w:val="21"/>
        </w:rPr>
        <w:t>（三）供应商出现考核得分＜60分的情况或一票否决情况时,采购人有权单方面解除合同并追究供应商责任。</w:t>
      </w:r>
    </w:p>
    <w:bookmarkEnd w:id="172"/>
    <w:bookmarkEnd w:id="173"/>
    <w:p>
      <w:pPr>
        <w:widowControl/>
        <w:spacing w:line="360" w:lineRule="auto"/>
        <w:ind w:firstLine="421" w:firstLineChars="200"/>
        <w:jc w:val="left"/>
        <w:textAlignment w:val="auto"/>
        <w:outlineLvl w:val="0"/>
        <w:rPr>
          <w:rFonts w:hint="eastAsia" w:ascii="宋体" w:hAnsi="宋体" w:eastAsia="宋体" w:cs="宋体"/>
          <w:kern w:val="0"/>
          <w:sz w:val="21"/>
          <w:szCs w:val="21"/>
        </w:rPr>
      </w:pPr>
      <w:bookmarkStart w:id="174" w:name="_Toc8643"/>
      <w:bookmarkStart w:id="175" w:name="_Toc19998"/>
      <w:r>
        <w:rPr>
          <w:rFonts w:hint="eastAsia" w:ascii="宋体" w:hAnsi="宋体" w:eastAsia="宋体" w:cs="宋体"/>
          <w:b/>
          <w:bCs/>
          <w:kern w:val="36"/>
          <w:sz w:val="21"/>
          <w:szCs w:val="21"/>
          <w:lang w:eastAsia="en-US"/>
        </w:rPr>
        <w:t>验收时，分局非执法类辅助型服务需求部门按规定填写《项目验收书》（每月付款时提供）。验收合格后，结算当月实际应支付金额。</w:t>
      </w:r>
      <w:bookmarkEnd w:id="174"/>
      <w:bookmarkEnd w:id="175"/>
      <w:bookmarkStart w:id="176" w:name="_Toc256000031"/>
    </w:p>
    <w:tbl>
      <w:tblPr>
        <w:tblStyle w:val="21"/>
        <w:tblW w:w="92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8"/>
        <w:gridCol w:w="1600"/>
        <w:gridCol w:w="5387"/>
        <w:gridCol w:w="998"/>
        <w:gridCol w:w="625"/>
        <w:tblGridChange w:id="2">
          <w:tblGrid>
            <w:gridCol w:w="618"/>
            <w:gridCol w:w="1227"/>
            <w:gridCol w:w="373"/>
            <w:gridCol w:w="1472"/>
            <w:gridCol w:w="1845"/>
            <w:gridCol w:w="1846"/>
            <w:gridCol w:w="224"/>
            <w:gridCol w:w="998"/>
            <w:gridCol w:w="625"/>
          </w:tblGrid>
        </w:tblGridChange>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trPr>
        <w:tc>
          <w:tcPr>
            <w:tcW w:w="9228" w:type="dxa"/>
            <w:gridSpan w:val="5"/>
            <w:vAlign w:val="center"/>
          </w:tcPr>
          <w:p>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cstheme="minorEastAsia"/>
                <w:b/>
                <w:i w:val="0"/>
                <w:color w:val="000000"/>
                <w:kern w:val="0"/>
                <w:sz w:val="21"/>
                <w:szCs w:val="21"/>
                <w:u w:val="none"/>
                <w:lang w:val="en-US" w:eastAsia="zh-CN" w:bidi="ar"/>
              </w:rPr>
              <w:t>国家税务总局大连市税务局第三税务分局</w:t>
            </w:r>
            <w:r>
              <w:rPr>
                <w:rFonts w:hint="eastAsia" w:asciiTheme="minorEastAsia" w:hAnsiTheme="minorEastAsia" w:eastAsiaTheme="minorEastAsia" w:cstheme="minorEastAsia"/>
                <w:b/>
                <w:i w:val="0"/>
                <w:color w:val="000000"/>
                <w:kern w:val="0"/>
                <w:sz w:val="21"/>
                <w:szCs w:val="21"/>
                <w:u w:val="none"/>
                <w:lang w:val="en-US" w:eastAsia="zh-CN" w:bidi="ar"/>
              </w:rPr>
              <w:t>非执法类辅助服务考核表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Align w:val="center"/>
          </w:tcPr>
          <w:p>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序号</w:t>
            </w:r>
          </w:p>
        </w:tc>
        <w:tc>
          <w:tcPr>
            <w:tcW w:w="1600" w:type="dxa"/>
            <w:vAlign w:val="center"/>
          </w:tcPr>
          <w:p>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项目</w:t>
            </w:r>
          </w:p>
        </w:tc>
        <w:tc>
          <w:tcPr>
            <w:tcW w:w="5387" w:type="dxa"/>
            <w:vAlign w:val="center"/>
          </w:tcPr>
          <w:p>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细则</w:t>
            </w:r>
          </w:p>
        </w:tc>
        <w:tc>
          <w:tcPr>
            <w:tcW w:w="998" w:type="dxa"/>
            <w:vAlign w:val="center"/>
          </w:tcPr>
          <w:p>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扣分</w:t>
            </w:r>
          </w:p>
        </w:tc>
        <w:tc>
          <w:tcPr>
            <w:tcW w:w="625" w:type="dxa"/>
            <w:vAlign w:val="center"/>
          </w:tcPr>
          <w:p>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restart"/>
            <w:vAlign w:val="center"/>
          </w:tcPr>
          <w:p>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1</w:t>
            </w:r>
          </w:p>
        </w:tc>
        <w:tc>
          <w:tcPr>
            <w:tcW w:w="1600" w:type="dxa"/>
            <w:vMerge w:val="restart"/>
            <w:vAlign w:val="center"/>
          </w:tcPr>
          <w:p>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工作配合度（50分）</w:t>
            </w:r>
          </w:p>
        </w:tc>
        <w:tc>
          <w:tcPr>
            <w:tcW w:w="5387" w:type="dxa"/>
            <w:vAlign w:val="center"/>
          </w:tcPr>
          <w:p>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不服从采购人管理的，或不配合采购人要求的加班等相关工</w:t>
            </w:r>
            <w:r>
              <w:rPr>
                <w:rStyle w:val="61"/>
                <w:rFonts w:hint="eastAsia" w:asciiTheme="minorEastAsia" w:hAnsiTheme="minorEastAsia" w:eastAsiaTheme="minorEastAsia" w:cstheme="minorEastAsia"/>
                <w:sz w:val="21"/>
                <w:szCs w:val="21"/>
                <w:lang w:val="en-US" w:eastAsia="zh-CN" w:bidi="ar"/>
              </w:rPr>
              <w:t>作，或采取各种方式欺瞒、应付采购人的，按次扣10分。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未按要求将工作人员及时配备到位的，每人次扣</w:t>
            </w:r>
            <w:r>
              <w:rPr>
                <w:rStyle w:val="61"/>
                <w:rFonts w:hint="eastAsia" w:asciiTheme="minorEastAsia" w:hAnsiTheme="minorEastAsia" w:eastAsiaTheme="minorEastAsia" w:cstheme="minorEastAsia"/>
                <w:sz w:val="21"/>
                <w:szCs w:val="21"/>
                <w:lang w:val="en-US" w:eastAsia="zh-CN" w:bidi="ar"/>
              </w:rPr>
              <w:t>5分。配备的工作人员与岗位需求不匹配的，按人次扣5分。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both"/>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当月未将</w:t>
            </w:r>
            <w:r>
              <w:rPr>
                <w:rStyle w:val="61"/>
                <w:rFonts w:hint="eastAsia" w:asciiTheme="minorEastAsia" w:hAnsiTheme="minorEastAsia" w:eastAsiaTheme="minorEastAsia" w:cstheme="minorEastAsia"/>
                <w:sz w:val="21"/>
                <w:szCs w:val="21"/>
                <w:lang w:val="en-US" w:eastAsia="zh-CN" w:bidi="ar"/>
              </w:rPr>
              <w:t>90%服务费（不含税费）足额用于本项目工作人员的，包括但不限于工资薪金、社保医保、加班费、福利等，按人次扣1分，超过10人次（含10次）的扣15分。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未按要求对员工开展安全、保密培训并签订保密协议的，按</w:t>
            </w:r>
            <w:r>
              <w:rPr>
                <w:rStyle w:val="61"/>
                <w:rFonts w:hint="eastAsia" w:asciiTheme="minorEastAsia" w:hAnsiTheme="minorEastAsia" w:eastAsiaTheme="minorEastAsia" w:cstheme="minorEastAsia"/>
                <w:sz w:val="21"/>
                <w:szCs w:val="21"/>
                <w:lang w:val="en-US" w:eastAsia="zh-CN" w:bidi="ar"/>
              </w:rPr>
              <w:t>人次扣1分。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both"/>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未按要求对本项目工作人员进行体检的（检查项目包括但不</w:t>
            </w:r>
            <w:r>
              <w:rPr>
                <w:rStyle w:val="61"/>
                <w:rFonts w:hint="eastAsia" w:asciiTheme="minorEastAsia" w:hAnsiTheme="minorEastAsia" w:eastAsiaTheme="minorEastAsia" w:cstheme="minorEastAsia"/>
                <w:sz w:val="21"/>
                <w:szCs w:val="21"/>
                <w:lang w:val="en-US" w:eastAsia="zh-CN" w:bidi="ar"/>
              </w:rPr>
              <w:t>限于各类传染病、心脏疾病、血液疾病相关检查），扣15分。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both"/>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未按要求提供本项目工作人员相关履历证明材料或者提供虚假证明材料的，按人次扣5分，超过3人次（含3次）的，扣15分。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未做好本项目工作人员档案管理，</w:t>
            </w:r>
            <w:r>
              <w:rPr>
                <w:rStyle w:val="61"/>
                <w:rFonts w:hint="eastAsia" w:asciiTheme="minorEastAsia" w:hAnsiTheme="minorEastAsia" w:eastAsiaTheme="minorEastAsia" w:cstheme="minorEastAsia"/>
                <w:sz w:val="21"/>
                <w:szCs w:val="21"/>
                <w:lang w:val="en-US" w:eastAsia="zh-CN" w:bidi="ar"/>
              </w:rPr>
              <w:t>出现问题不能及时溯源的，按次扣5分。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未经采购人同意擅自聘用、调整、辞退本项目工作人员的，</w:t>
            </w:r>
            <w:r>
              <w:rPr>
                <w:rStyle w:val="61"/>
                <w:rFonts w:hint="eastAsia" w:asciiTheme="minorEastAsia" w:hAnsiTheme="minorEastAsia" w:eastAsiaTheme="minorEastAsia" w:cstheme="minorEastAsia"/>
                <w:sz w:val="21"/>
                <w:szCs w:val="21"/>
                <w:lang w:val="en-US" w:eastAsia="zh-CN" w:bidi="ar"/>
              </w:rPr>
              <w:t>按人次扣5分。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restart"/>
            <w:vAlign w:val="center"/>
          </w:tcPr>
          <w:p>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2</w:t>
            </w:r>
          </w:p>
        </w:tc>
        <w:tc>
          <w:tcPr>
            <w:tcW w:w="1600" w:type="dxa"/>
            <w:vMerge w:val="restart"/>
            <w:vAlign w:val="center"/>
          </w:tcPr>
          <w:p>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工作纪律（20分）</w:t>
            </w:r>
          </w:p>
        </w:tc>
        <w:tc>
          <w:tcPr>
            <w:tcW w:w="5387" w:type="dxa"/>
            <w:vAlign w:val="center"/>
          </w:tcPr>
          <w:p>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工作人员迟到、早退的按人次扣</w:t>
            </w:r>
            <w:r>
              <w:rPr>
                <w:rStyle w:val="61"/>
                <w:rFonts w:hint="eastAsia" w:asciiTheme="minorEastAsia" w:hAnsiTheme="minorEastAsia" w:eastAsiaTheme="minorEastAsia" w:cstheme="minorEastAsia"/>
                <w:sz w:val="21"/>
                <w:szCs w:val="21"/>
                <w:lang w:val="en-US" w:eastAsia="zh-CN" w:bidi="ar"/>
              </w:rPr>
              <w:t>1分，旷工的按人次扣2分。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工作时间内进行与工作无关事项，例如玩手机、串岗、聊天</w:t>
            </w:r>
            <w:r>
              <w:rPr>
                <w:rStyle w:val="61"/>
                <w:rFonts w:hint="eastAsia" w:asciiTheme="minorEastAsia" w:hAnsiTheme="minorEastAsia" w:eastAsiaTheme="minorEastAsia" w:cstheme="minorEastAsia"/>
                <w:sz w:val="21"/>
                <w:szCs w:val="21"/>
                <w:lang w:val="en-US" w:eastAsia="zh-CN" w:bidi="ar"/>
              </w:rPr>
              <w:t>等行为，每发现一起按人次扣1分。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both"/>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工作人员未按要求着工装的按人次扣</w:t>
            </w:r>
            <w:r>
              <w:rPr>
                <w:rStyle w:val="61"/>
                <w:rFonts w:hint="eastAsia" w:asciiTheme="minorEastAsia" w:hAnsiTheme="minorEastAsia" w:eastAsiaTheme="minorEastAsia" w:cstheme="minorEastAsia"/>
                <w:sz w:val="21"/>
                <w:szCs w:val="21"/>
                <w:lang w:val="en-US" w:eastAsia="zh-CN" w:bidi="ar"/>
              </w:rPr>
              <w:t>0.5分，当月所有工作人员累计出现5次（含5次）的扣5分；工作人员指甲、发型等不符合工作要求的，按人次扣1分。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both"/>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工作人员未向采购人管理人员报备擅自离岗、离岗时未点击“暂停服务</w:t>
            </w:r>
            <w:r>
              <w:rPr>
                <w:rStyle w:val="61"/>
                <w:rFonts w:hint="eastAsia" w:asciiTheme="minorEastAsia" w:hAnsiTheme="minorEastAsia" w:eastAsiaTheme="minorEastAsia" w:cstheme="minorEastAsia"/>
                <w:sz w:val="21"/>
                <w:szCs w:val="21"/>
                <w:lang w:val="en-US" w:eastAsia="zh-CN" w:bidi="ar"/>
              </w:rPr>
              <w:t>”提示牌的，未经批准自行离职的，按人次扣3分。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工作人员未严格按照纳税服务规范履行工作程序，为纳税人</w:t>
            </w:r>
            <w:r>
              <w:rPr>
                <w:rStyle w:val="61"/>
                <w:rFonts w:hint="eastAsia" w:asciiTheme="minorEastAsia" w:hAnsiTheme="minorEastAsia" w:eastAsiaTheme="minorEastAsia" w:cstheme="minorEastAsia"/>
                <w:sz w:val="21"/>
                <w:szCs w:val="21"/>
                <w:lang w:val="en-US" w:eastAsia="zh-CN" w:bidi="ar"/>
              </w:rPr>
              <w:t>提供如“过手”税费等代位服务的，按次扣3分。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工作人员虚报当天业务量的，按次扣</w:t>
            </w:r>
            <w:r>
              <w:rPr>
                <w:rStyle w:val="61"/>
                <w:rFonts w:hint="eastAsia" w:asciiTheme="minorEastAsia" w:hAnsiTheme="minorEastAsia" w:eastAsiaTheme="minorEastAsia" w:cstheme="minorEastAsia"/>
                <w:sz w:val="21"/>
                <w:szCs w:val="21"/>
                <w:lang w:val="en-US" w:eastAsia="zh-CN" w:bidi="ar"/>
              </w:rPr>
              <w:t>5分。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both"/>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工作人员为亲友及其他特定关系人在审批、办理业务中提供</w:t>
            </w:r>
            <w:r>
              <w:rPr>
                <w:rStyle w:val="61"/>
                <w:rFonts w:hint="eastAsia" w:asciiTheme="minorEastAsia" w:hAnsiTheme="minorEastAsia" w:eastAsiaTheme="minorEastAsia" w:cstheme="minorEastAsia"/>
                <w:sz w:val="21"/>
                <w:szCs w:val="21"/>
                <w:lang w:val="en-US" w:eastAsia="zh-CN" w:bidi="ar"/>
              </w:rPr>
              <w:t>便利，违规操作涉税业务的，按次扣5分；工作人员出现滥用职权谋取私利，收受纳税人贿赂、礼品礼金，借用管理对象钱款、车辆，接收宴请等违法行为，按次扣10分。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both"/>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工作人员擅自将与工作相关的场景、物品、信息等通过各种</w:t>
            </w:r>
            <w:r>
              <w:rPr>
                <w:rStyle w:val="61"/>
                <w:rFonts w:hint="eastAsia" w:asciiTheme="minorEastAsia" w:hAnsiTheme="minorEastAsia" w:eastAsiaTheme="minorEastAsia" w:cstheme="minorEastAsia"/>
                <w:sz w:val="21"/>
                <w:szCs w:val="21"/>
                <w:lang w:val="en-US" w:eastAsia="zh-CN" w:bidi="ar"/>
              </w:rPr>
              <w:t>渠道发布或泄露的，按次扣5分；工作人员通过任何渠道发表不当言论，按次扣5分。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restart"/>
            <w:vAlign w:val="center"/>
          </w:tcPr>
          <w:p>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3</w:t>
            </w:r>
          </w:p>
        </w:tc>
        <w:tc>
          <w:tcPr>
            <w:tcW w:w="1600" w:type="dxa"/>
            <w:vMerge w:val="restart"/>
            <w:vAlign w:val="center"/>
          </w:tcPr>
          <w:p>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工作质量（20分）</w:t>
            </w:r>
          </w:p>
        </w:tc>
        <w:tc>
          <w:tcPr>
            <w:tcW w:w="5387" w:type="dxa"/>
            <w:vAlign w:val="center"/>
          </w:tcPr>
          <w:p>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上班到岗后未叫号受理业务,按次扣</w:t>
            </w:r>
            <w:r>
              <w:rPr>
                <w:rStyle w:val="61"/>
                <w:rFonts w:hint="eastAsia" w:asciiTheme="minorEastAsia" w:hAnsiTheme="minorEastAsia" w:eastAsiaTheme="minorEastAsia" w:cstheme="minorEastAsia"/>
                <w:sz w:val="21"/>
                <w:szCs w:val="21"/>
                <w:lang w:val="en-US" w:eastAsia="zh-CN" w:bidi="ar"/>
              </w:rPr>
              <w:t>0.5分；未办理完等候区已取号的最后一位纳税人（缴费人）业务离开岗位,按次扣1分。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未按要求尽到一次告知义务或推诿，造成纳</w:t>
            </w:r>
            <w:r>
              <w:rPr>
                <w:rStyle w:val="61"/>
                <w:rFonts w:hint="eastAsia" w:asciiTheme="minorEastAsia" w:hAnsiTheme="minorEastAsia" w:eastAsiaTheme="minorEastAsia" w:cstheme="minorEastAsia"/>
                <w:sz w:val="21"/>
                <w:szCs w:val="21"/>
                <w:lang w:val="en-US" w:eastAsia="zh-CN" w:bidi="ar"/>
              </w:rPr>
              <w:t>税人（缴费人）多次往返的，按次扣1分。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与纳税人（缴费人）发生争吵，按次扣</w:t>
            </w:r>
            <w:r>
              <w:rPr>
                <w:rStyle w:val="61"/>
                <w:rFonts w:hint="eastAsia" w:asciiTheme="minorEastAsia" w:hAnsiTheme="minorEastAsia" w:eastAsiaTheme="minorEastAsia" w:cstheme="minorEastAsia"/>
                <w:sz w:val="21"/>
                <w:szCs w:val="21"/>
                <w:lang w:val="en-US" w:eastAsia="zh-CN" w:bidi="ar"/>
              </w:rPr>
              <w:t>3分；经调查确属服务人员责任的，按次扣5分。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both"/>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服务人员应保持办公环境的干净整洁，下班后未对桌面物品</w:t>
            </w:r>
            <w:r>
              <w:rPr>
                <w:rStyle w:val="61"/>
                <w:rFonts w:hint="eastAsia" w:asciiTheme="minorEastAsia" w:hAnsiTheme="minorEastAsia" w:eastAsiaTheme="minorEastAsia" w:cstheme="minorEastAsia"/>
                <w:sz w:val="21"/>
                <w:szCs w:val="21"/>
                <w:lang w:val="en-US" w:eastAsia="zh-CN" w:bidi="ar"/>
              </w:rPr>
              <w:t>进行整理，未倒垃圾的，按次扣0.5分；下班后未关闭所有办公电子设备电源或未锁存印章、票证等重要办公用品，按次扣1分。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both"/>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一般投诉，凡造成纳税人（缴费人）向政务中心、采购人相关部门投诉办税厅工作人员服务态度差等，且查证属实的，</w:t>
            </w:r>
            <w:r>
              <w:rPr>
                <w:rStyle w:val="61"/>
                <w:rFonts w:hint="eastAsia" w:asciiTheme="minorEastAsia" w:hAnsiTheme="minorEastAsia" w:eastAsiaTheme="minorEastAsia" w:cstheme="minorEastAsia"/>
                <w:sz w:val="21"/>
                <w:szCs w:val="21"/>
                <w:lang w:val="en-US" w:eastAsia="zh-CN" w:bidi="ar"/>
              </w:rPr>
              <w:t>按次扣3分；严重投诉，造成严重影响税务机关荣誉及形象的，按次扣5分。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both"/>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服务人员应严格按照工作流程和规章制度办理业务，保证受理资料的完整性、录入操作系统的准确性。每发生一起受理</w:t>
            </w:r>
            <w:r>
              <w:rPr>
                <w:rStyle w:val="61"/>
                <w:rFonts w:hint="eastAsia" w:asciiTheme="minorEastAsia" w:hAnsiTheme="minorEastAsia" w:eastAsiaTheme="minorEastAsia" w:cstheme="minorEastAsia"/>
                <w:sz w:val="21"/>
                <w:szCs w:val="21"/>
                <w:lang w:val="en-US" w:eastAsia="zh-CN" w:bidi="ar"/>
              </w:rPr>
              <w:t>材料不准确、不完整的，每户次扣0.5分；发生业务办理差错的，每户次扣1分，情节严重造成重大影响的（涉及税款退补或滞纳金、执法过错追究等）每户次扣5分；发生违规操作的，每户次扣5分；严格按照要求进行采集、保管、传递相关资料并归档，不得出现失误，未按规定开展工作的，每户次扣1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restart"/>
            <w:vAlign w:val="center"/>
          </w:tcPr>
          <w:p>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4</w:t>
            </w:r>
          </w:p>
        </w:tc>
        <w:tc>
          <w:tcPr>
            <w:tcW w:w="1600" w:type="dxa"/>
            <w:vMerge w:val="restart"/>
            <w:vAlign w:val="center"/>
          </w:tcPr>
          <w:p>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服务质量（10分）</w:t>
            </w:r>
          </w:p>
        </w:tc>
        <w:tc>
          <w:tcPr>
            <w:tcW w:w="5387" w:type="dxa"/>
            <w:vAlign w:val="center"/>
          </w:tcPr>
          <w:p>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工作人员不服从采购人管理的，按人次扣</w:t>
            </w:r>
            <w:r>
              <w:rPr>
                <w:rStyle w:val="61"/>
                <w:rFonts w:hint="eastAsia" w:asciiTheme="minorEastAsia" w:hAnsiTheme="minorEastAsia" w:eastAsiaTheme="minorEastAsia" w:cstheme="minorEastAsia"/>
                <w:sz w:val="21"/>
                <w:szCs w:val="21"/>
                <w:lang w:val="en-US" w:eastAsia="zh-CN" w:bidi="ar"/>
              </w:rPr>
              <w:t>1分。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both"/>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项目经理不具备团队管理能力或充足的知识储备，解决问题的能力欠缺经采购人提醒后仍未解决或更换人员的，按次扣</w:t>
            </w:r>
            <w:r>
              <w:rPr>
                <w:rStyle w:val="61"/>
                <w:rFonts w:hint="eastAsia" w:asciiTheme="minorEastAsia" w:hAnsiTheme="minorEastAsia" w:eastAsiaTheme="minorEastAsia" w:cstheme="minorEastAsia"/>
                <w:sz w:val="21"/>
                <w:szCs w:val="21"/>
                <w:lang w:val="en-US" w:eastAsia="zh-CN" w:bidi="ar"/>
              </w:rPr>
              <w:t>5分。</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restart"/>
            <w:vAlign w:val="center"/>
          </w:tcPr>
          <w:p>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5</w:t>
            </w:r>
          </w:p>
        </w:tc>
        <w:tc>
          <w:tcPr>
            <w:tcW w:w="1600" w:type="dxa"/>
            <w:vMerge w:val="restart"/>
            <w:vAlign w:val="center"/>
          </w:tcPr>
          <w:p>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一票否决</w:t>
            </w:r>
          </w:p>
        </w:tc>
        <w:tc>
          <w:tcPr>
            <w:tcW w:w="5387" w:type="dxa"/>
            <w:vAlign w:val="center"/>
          </w:tcPr>
          <w:p>
            <w:pPr>
              <w:keepNext w:val="0"/>
              <w:keepLines w:val="0"/>
              <w:widowControl/>
              <w:suppressLineNumbers w:val="0"/>
              <w:spacing w:before="0" w:beforeAutospacing="0" w:after="0" w:afterAutospacing="0"/>
              <w:ind w:left="0" w:right="0"/>
              <w:jc w:val="both"/>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工作人员出现重大违规违纪事项被通报，或引发舆情事件，</w:t>
            </w:r>
            <w:r>
              <w:rPr>
                <w:rStyle w:val="61"/>
                <w:rFonts w:hint="eastAsia" w:asciiTheme="minorEastAsia" w:hAnsiTheme="minorEastAsia" w:eastAsiaTheme="minorEastAsia" w:cstheme="minorEastAsia"/>
                <w:sz w:val="21"/>
                <w:szCs w:val="21"/>
                <w:lang w:val="en-US" w:eastAsia="zh-CN" w:bidi="ar"/>
              </w:rPr>
              <w:t>或出现“吃、拿、卡、要”等违反廉洁纪律的行为，采购人有权提前终止合同并保留追究责任的权利。</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未按承诺函履行承诺，采购人有权提前终止合同并保留追究</w:t>
            </w:r>
            <w:r>
              <w:rPr>
                <w:rStyle w:val="61"/>
                <w:rFonts w:hint="eastAsia" w:asciiTheme="minorEastAsia" w:hAnsiTheme="minorEastAsia" w:eastAsiaTheme="minorEastAsia" w:cstheme="minorEastAsia"/>
                <w:sz w:val="21"/>
                <w:szCs w:val="21"/>
                <w:lang w:val="en-US" w:eastAsia="zh-CN" w:bidi="ar"/>
              </w:rPr>
              <w:t>责任的权利。</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both"/>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因供应商劳务纠纷，或供应商克扣采购人已足额支付</w:t>
            </w:r>
            <w:r>
              <w:rPr>
                <w:rStyle w:val="61"/>
                <w:rFonts w:hint="eastAsia" w:asciiTheme="minorEastAsia" w:hAnsiTheme="minorEastAsia" w:eastAsiaTheme="minorEastAsia" w:cstheme="minorEastAsia"/>
                <w:sz w:val="21"/>
                <w:szCs w:val="21"/>
                <w:lang w:val="en-US" w:eastAsia="zh-CN" w:bidi="ar"/>
              </w:rPr>
              <w:t>的服务费等，造成采购人负面舆情的，采购人有权提前终止合同并保留追究责任的权利。</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both"/>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供应商工作人员违反保密规定，擅自将工作场景、工作内容等信息通过互联网及其他介质发布或存储的，造成采购人负</w:t>
            </w:r>
            <w:r>
              <w:rPr>
                <w:rStyle w:val="61"/>
                <w:rFonts w:hint="eastAsia" w:asciiTheme="minorEastAsia" w:hAnsiTheme="minorEastAsia" w:eastAsiaTheme="minorEastAsia" w:cstheme="minorEastAsia"/>
                <w:sz w:val="21"/>
                <w:szCs w:val="21"/>
                <w:lang w:val="en-US" w:eastAsia="zh-CN" w:bidi="ar"/>
              </w:rPr>
              <w:t>面舆情的，采购人有权提前终止合同并保留追究责任的权利。</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1600" w:type="dxa"/>
            <w:vMerge w:val="continue"/>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5387" w:type="dxa"/>
            <w:vAlign w:val="center"/>
          </w:tcPr>
          <w:p>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其他未明确列举但实质上损害采购人合法利益的行为。</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Align w:val="center"/>
          </w:tcPr>
          <w:p>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6</w:t>
            </w:r>
          </w:p>
        </w:tc>
        <w:tc>
          <w:tcPr>
            <w:tcW w:w="1600" w:type="dxa"/>
            <w:vAlign w:val="center"/>
          </w:tcPr>
          <w:p>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特别说明</w:t>
            </w:r>
          </w:p>
        </w:tc>
        <w:tc>
          <w:tcPr>
            <w:tcW w:w="5387" w:type="dxa"/>
            <w:vAlign w:val="center"/>
          </w:tcPr>
          <w:p>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采购人有权根据项目运转实际情况对本表进行优化。</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05" w:type="dxa"/>
            <w:gridSpan w:val="3"/>
            <w:vAlign w:val="center"/>
          </w:tcPr>
          <w:p>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扣分合计</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05" w:type="dxa"/>
            <w:gridSpan w:val="3"/>
            <w:vAlign w:val="center"/>
          </w:tcPr>
          <w:p>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kern w:val="36"/>
                <w:sz w:val="21"/>
                <w:szCs w:val="21"/>
                <w:vertAlign w:val="baseline"/>
              </w:rPr>
            </w:pPr>
            <w:r>
              <w:rPr>
                <w:rFonts w:hint="eastAsia" w:asciiTheme="minorEastAsia" w:hAnsiTheme="minorEastAsia" w:eastAsiaTheme="minorEastAsia" w:cstheme="minorEastAsia"/>
                <w:i w:val="0"/>
                <w:color w:val="000000"/>
                <w:kern w:val="0"/>
                <w:sz w:val="21"/>
                <w:szCs w:val="21"/>
                <w:u w:val="none"/>
                <w:lang w:val="en-US" w:eastAsia="zh-CN" w:bidi="ar"/>
              </w:rPr>
              <w:t>得分合计</w:t>
            </w:r>
          </w:p>
        </w:tc>
        <w:tc>
          <w:tcPr>
            <w:tcW w:w="998"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c>
          <w:tcPr>
            <w:tcW w:w="625" w:type="dxa"/>
          </w:tcPr>
          <w:p>
            <w:pPr>
              <w:keepNext w:val="0"/>
              <w:keepLines w:val="0"/>
              <w:widowControl/>
              <w:suppressLineNumbers w:val="0"/>
              <w:spacing w:before="0" w:beforeAutospacing="0" w:after="0" w:afterAutospacing="0" w:line="360" w:lineRule="auto"/>
              <w:ind w:left="0" w:right="0"/>
              <w:jc w:val="both"/>
              <w:textAlignment w:val="baseline"/>
              <w:rPr>
                <w:rFonts w:hint="default" w:asciiTheme="minorEastAsia" w:hAnsiTheme="minorEastAsia" w:eastAsiaTheme="minorEastAsia" w:cstheme="minorEastAsia"/>
                <w:kern w:val="36"/>
                <w:sz w:val="21"/>
                <w:szCs w:val="21"/>
                <w:vertAlign w:val="baseline"/>
              </w:rPr>
            </w:pPr>
          </w:p>
        </w:tc>
      </w:tr>
    </w:tbl>
    <w:p>
      <w:pPr>
        <w:widowControl/>
        <w:spacing w:line="360" w:lineRule="auto"/>
        <w:ind w:firstLine="422"/>
        <w:jc w:val="both"/>
        <w:textAlignment w:val="baseline"/>
        <w:rPr>
          <w:rFonts w:hint="eastAsia" w:ascii="宋体" w:hAnsi="宋体" w:eastAsia="宋体" w:cs="宋体"/>
          <w:kern w:val="36"/>
          <w:sz w:val="21"/>
          <w:szCs w:val="21"/>
        </w:rPr>
      </w:pPr>
    </w:p>
    <w:p>
      <w:pPr>
        <w:spacing w:line="360" w:lineRule="auto"/>
        <w:jc w:val="center"/>
        <w:outlineLvl w:val="0"/>
        <w:rPr>
          <w:rFonts w:hint="eastAsia" w:ascii="宋体" w:hAnsi="宋体" w:eastAsia="宋体" w:cs="宋体"/>
          <w:b/>
          <w:bCs/>
          <w:kern w:val="36"/>
          <w:sz w:val="21"/>
          <w:szCs w:val="21"/>
          <w:lang w:eastAsia="en-US"/>
        </w:rPr>
      </w:pPr>
      <w:bookmarkStart w:id="177" w:name="_Toc4899"/>
      <w:bookmarkStart w:id="178" w:name="_Toc77"/>
      <w:r>
        <w:rPr>
          <w:rFonts w:hint="eastAsia" w:ascii="宋体" w:hAnsi="宋体" w:eastAsia="宋体" w:cs="宋体"/>
          <w:b/>
          <w:bCs/>
          <w:kern w:val="36"/>
          <w:sz w:val="21"/>
          <w:szCs w:val="21"/>
          <w:lang w:eastAsia="en-US"/>
        </w:rPr>
        <w:t>8其他要求</w:t>
      </w:r>
      <w:bookmarkEnd w:id="176"/>
      <w:bookmarkEnd w:id="177"/>
      <w:bookmarkEnd w:id="178"/>
    </w:p>
    <w:p>
      <w:pPr>
        <w:widowControl/>
        <w:spacing w:line="360" w:lineRule="auto"/>
        <w:jc w:val="left"/>
        <w:outlineLvl w:val="0"/>
        <w:rPr>
          <w:rFonts w:hint="eastAsia" w:ascii="宋体" w:hAnsi="宋体" w:eastAsia="宋体" w:cs="宋体"/>
          <w:b/>
          <w:bCs/>
          <w:kern w:val="0"/>
          <w:sz w:val="21"/>
          <w:szCs w:val="21"/>
          <w:lang w:eastAsia="en-US"/>
        </w:rPr>
      </w:pPr>
      <w:bookmarkStart w:id="179" w:name="_Toc13563"/>
      <w:bookmarkStart w:id="180" w:name="_Toc27977"/>
      <w:bookmarkStart w:id="181" w:name="_Toc256000032"/>
      <w:r>
        <w:rPr>
          <w:rFonts w:hint="eastAsia" w:ascii="宋体" w:hAnsi="宋体" w:eastAsia="宋体" w:cs="宋体"/>
          <w:b/>
          <w:bCs/>
          <w:kern w:val="0"/>
          <w:sz w:val="21"/>
          <w:szCs w:val="21"/>
          <w:lang w:eastAsia="en-US"/>
        </w:rPr>
        <w:t>8.1必备要求</w:t>
      </w:r>
      <w:bookmarkEnd w:id="179"/>
      <w:bookmarkEnd w:id="180"/>
      <w:bookmarkEnd w:id="181"/>
    </w:p>
    <w:p>
      <w:pPr>
        <w:widowControl/>
        <w:spacing w:line="360" w:lineRule="auto"/>
        <w:jc w:val="left"/>
        <w:outlineLvl w:val="1"/>
        <w:rPr>
          <w:rFonts w:hint="eastAsia" w:ascii="宋体" w:hAnsi="宋体" w:eastAsia="宋体" w:cs="宋体"/>
          <w:b/>
          <w:bCs/>
          <w:kern w:val="0"/>
          <w:sz w:val="21"/>
          <w:szCs w:val="21"/>
          <w:lang w:eastAsia="en-US"/>
        </w:rPr>
      </w:pPr>
      <w:bookmarkStart w:id="182" w:name="_Toc14964"/>
      <w:bookmarkStart w:id="183" w:name="_Toc256000033"/>
      <w:bookmarkStart w:id="184" w:name="_Toc8763"/>
      <w:r>
        <w:rPr>
          <w:rFonts w:hint="eastAsia" w:ascii="宋体" w:hAnsi="宋体" w:eastAsia="宋体" w:cs="宋体"/>
          <w:b/>
          <w:bCs/>
          <w:kern w:val="0"/>
          <w:sz w:val="21"/>
          <w:szCs w:val="21"/>
          <w:lang w:eastAsia="en-US"/>
        </w:rPr>
        <w:t>8.1.1通用必备要求</w:t>
      </w:r>
      <w:bookmarkEnd w:id="182"/>
      <w:bookmarkEnd w:id="183"/>
      <w:bookmarkEnd w:id="184"/>
    </w:p>
    <w:p>
      <w:pPr>
        <w:widowControl/>
        <w:spacing w:line="360" w:lineRule="auto"/>
        <w:ind w:firstLine="420" w:firstLineChars="200"/>
        <w:jc w:val="both"/>
        <w:outlineLvl w:val="1"/>
        <w:rPr>
          <w:rFonts w:hint="eastAsia" w:ascii="宋体" w:hAnsi="宋体" w:eastAsia="宋体" w:cs="宋体"/>
          <w:kern w:val="0"/>
          <w:sz w:val="21"/>
          <w:szCs w:val="21"/>
        </w:rPr>
      </w:pPr>
      <w:bookmarkStart w:id="185" w:name="_Toc19665"/>
      <w:bookmarkStart w:id="186" w:name="_Toc21389"/>
      <w:r>
        <w:rPr>
          <w:rFonts w:hint="eastAsia" w:ascii="宋体" w:hAnsi="宋体" w:eastAsia="宋体" w:cs="宋体"/>
          <w:kern w:val="0"/>
          <w:sz w:val="21"/>
          <w:szCs w:val="21"/>
        </w:rPr>
        <w:t>相关要求由供应商在响应时应答，在履约验收中，采购人将按照采购文件、中标/成交供应商响应文件、采购合同等对中标/成交供应商提供服务进行验收。</w:t>
      </w:r>
      <w:bookmarkEnd w:id="185"/>
      <w:bookmarkEnd w:id="186"/>
    </w:p>
    <w:p>
      <w:pPr>
        <w:widowControl/>
        <w:spacing w:line="360" w:lineRule="auto"/>
        <w:ind w:firstLine="420" w:firstLineChars="200"/>
        <w:jc w:val="both"/>
        <w:outlineLvl w:val="1"/>
        <w:rPr>
          <w:rFonts w:hint="eastAsia" w:ascii="宋体" w:hAnsi="宋体" w:eastAsia="宋体" w:cs="宋体"/>
          <w:kern w:val="0"/>
          <w:sz w:val="21"/>
          <w:szCs w:val="21"/>
        </w:rPr>
      </w:pPr>
      <w:bookmarkStart w:id="187" w:name="_Toc17298"/>
      <w:bookmarkStart w:id="188" w:name="_Toc16913"/>
      <w:r>
        <w:rPr>
          <w:rFonts w:hint="eastAsia" w:ascii="宋体" w:hAnsi="宋体" w:eastAsia="宋体" w:cs="宋体"/>
          <w:kern w:val="0"/>
          <w:sz w:val="21"/>
          <w:szCs w:val="21"/>
        </w:rPr>
        <w:t>付款方式：根据《国家税务总局大连市税务局第三税务分局非执法类辅助服务考核表》的考核结果，按照实际验收情况结算，原则上每月结算支付一次。注：满足合同约定付款支付条件的，我局原则上应当自收到发票后10个工作日内将资金支付到合同约定的供应商账户，双方另有争议除外。</w:t>
      </w:r>
      <w:bookmarkEnd w:id="187"/>
      <w:bookmarkEnd w:id="188"/>
    </w:p>
    <w:p>
      <w:pPr>
        <w:widowControl/>
        <w:spacing w:line="360" w:lineRule="auto"/>
        <w:jc w:val="left"/>
        <w:outlineLvl w:val="0"/>
        <w:rPr>
          <w:rFonts w:hint="eastAsia" w:ascii="宋体" w:hAnsi="宋体" w:eastAsia="宋体" w:cs="宋体"/>
          <w:b/>
          <w:bCs/>
          <w:kern w:val="0"/>
          <w:sz w:val="21"/>
          <w:szCs w:val="21"/>
          <w:lang w:eastAsia="en-US"/>
        </w:rPr>
      </w:pPr>
      <w:bookmarkStart w:id="189" w:name="_Toc23045"/>
      <w:bookmarkStart w:id="190" w:name="_Toc256000034"/>
      <w:bookmarkStart w:id="191" w:name="_Toc20347"/>
      <w:r>
        <w:rPr>
          <w:rFonts w:hint="eastAsia" w:ascii="宋体" w:hAnsi="宋体" w:eastAsia="宋体" w:cs="宋体"/>
          <w:b/>
          <w:bCs/>
          <w:kern w:val="0"/>
          <w:sz w:val="21"/>
          <w:szCs w:val="21"/>
          <w:lang w:eastAsia="en-US"/>
        </w:rPr>
        <w:t>8.2付款安排建议</w:t>
      </w:r>
      <w:bookmarkEnd w:id="189"/>
      <w:bookmarkEnd w:id="190"/>
      <w:bookmarkEnd w:id="191"/>
    </w:p>
    <w:tbl>
      <w:tblPr>
        <w:tblStyle w:val="20"/>
        <w:tblW w:w="4000" w:type="pct"/>
        <w:jc w:val="center"/>
        <w:tblLayout w:type="autofit"/>
        <w:tblCellMar>
          <w:top w:w="15" w:type="dxa"/>
          <w:left w:w="15" w:type="dxa"/>
          <w:bottom w:w="15" w:type="dxa"/>
          <w:right w:w="15" w:type="dxa"/>
        </w:tblCellMar>
      </w:tblPr>
      <w:tblGrid>
        <w:gridCol w:w="1670"/>
        <w:gridCol w:w="5010"/>
      </w:tblGrid>
      <w:tr>
        <w:tblPrEx>
          <w:tblCellMar>
            <w:top w:w="15" w:type="dxa"/>
            <w:left w:w="15" w:type="dxa"/>
            <w:bottom w:w="15" w:type="dxa"/>
            <w:right w:w="15" w:type="dxa"/>
          </w:tblCellMar>
        </w:tblPrEx>
        <w:trPr>
          <w:jc w:val="center"/>
        </w:trPr>
        <w:tc>
          <w:tcPr>
            <w:tcW w:w="125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keepNext w:val="0"/>
              <w:keepLines w:val="0"/>
              <w:widowControl/>
              <w:suppressLineNumbers w:val="0"/>
              <w:spacing w:before="0" w:beforeAutospacing="0" w:after="0" w:afterAutospacing="0"/>
              <w:ind w:left="0" w:right="0"/>
              <w:jc w:val="center"/>
              <w:rPr>
                <w:rFonts w:hint="default" w:ascii="宋体" w:hAnsi="宋体" w:eastAsia="宋体" w:cs="宋体"/>
                <w:b/>
                <w:bCs/>
                <w:i w:val="0"/>
                <w:iCs w:val="0"/>
                <w:smallCaps w:val="0"/>
                <w:color w:val="000000"/>
                <w:kern w:val="0"/>
                <w:sz w:val="21"/>
                <w:szCs w:val="21"/>
                <w:highlight w:val="none"/>
                <w:lang w:eastAsia="en-US"/>
              </w:rPr>
            </w:pPr>
            <w:r>
              <w:rPr>
                <w:rFonts w:hint="eastAsia" w:ascii="宋体" w:hAnsi="宋体" w:eastAsia="宋体" w:cs="宋体"/>
                <w:b/>
                <w:bCs/>
                <w:i w:val="0"/>
                <w:iCs w:val="0"/>
                <w:smallCaps w:val="0"/>
                <w:color w:val="000000"/>
                <w:kern w:val="0"/>
                <w:sz w:val="21"/>
                <w:szCs w:val="21"/>
                <w:highlight w:val="none"/>
                <w:lang w:eastAsia="en-US"/>
              </w:rPr>
              <w:t>付款名称</w:t>
            </w:r>
          </w:p>
        </w:tc>
        <w:tc>
          <w:tcPr>
            <w:tcW w:w="375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keepNext w:val="0"/>
              <w:keepLines w:val="0"/>
              <w:widowControl/>
              <w:suppressLineNumbers w:val="0"/>
              <w:spacing w:before="0" w:beforeAutospacing="0" w:after="0" w:afterAutospacing="0"/>
              <w:ind w:left="0" w:right="0"/>
              <w:jc w:val="center"/>
              <w:rPr>
                <w:rFonts w:hint="default" w:ascii="宋体" w:hAnsi="宋体" w:eastAsia="宋体" w:cs="宋体"/>
                <w:b/>
                <w:bCs/>
                <w:i w:val="0"/>
                <w:iCs w:val="0"/>
                <w:smallCaps w:val="0"/>
                <w:color w:val="000000"/>
                <w:kern w:val="0"/>
                <w:sz w:val="21"/>
                <w:szCs w:val="21"/>
                <w:highlight w:val="none"/>
                <w:lang w:eastAsia="en-US"/>
              </w:rPr>
            </w:pPr>
            <w:r>
              <w:rPr>
                <w:rFonts w:hint="eastAsia" w:ascii="宋体" w:hAnsi="宋体" w:eastAsia="宋体" w:cs="宋体"/>
                <w:b/>
                <w:bCs/>
                <w:i w:val="0"/>
                <w:iCs w:val="0"/>
                <w:smallCaps w:val="0"/>
                <w:color w:val="000000"/>
                <w:kern w:val="0"/>
                <w:sz w:val="21"/>
                <w:szCs w:val="21"/>
                <w:highlight w:val="none"/>
                <w:lang w:eastAsia="en-US"/>
              </w:rPr>
              <w:t>付款要求</w:t>
            </w:r>
          </w:p>
        </w:tc>
      </w:tr>
      <w:tr>
        <w:tblPrEx>
          <w:tblCellMar>
            <w:top w:w="15" w:type="dxa"/>
            <w:left w:w="15" w:type="dxa"/>
            <w:bottom w:w="15" w:type="dxa"/>
            <w:right w:w="15" w:type="dxa"/>
          </w:tblCellMar>
        </w:tblPrEx>
        <w:trPr>
          <w:jc w:val="center"/>
        </w:trPr>
        <w:tc>
          <w:tcPr>
            <w:tcW w:w="125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keepNext w:val="0"/>
              <w:keepLines w:val="0"/>
              <w:widowControl/>
              <w:suppressLineNumbers w:val="0"/>
              <w:spacing w:before="0" w:beforeAutospacing="0" w:after="0" w:afterAutospacing="0"/>
              <w:ind w:left="0" w:right="0"/>
              <w:jc w:val="center"/>
              <w:rPr>
                <w:rFonts w:hint="default" w:ascii="宋体" w:hAnsi="宋体" w:eastAsia="宋体" w:cs="宋体"/>
                <w:b w:val="0"/>
                <w:bCs w:val="0"/>
                <w:i w:val="0"/>
                <w:iCs w:val="0"/>
                <w:smallCaps w:val="0"/>
                <w:color w:val="000000"/>
                <w:kern w:val="0"/>
                <w:sz w:val="21"/>
                <w:szCs w:val="21"/>
                <w:highlight w:val="none"/>
                <w:lang w:eastAsia="zh-CN"/>
              </w:rPr>
            </w:pPr>
            <w:r>
              <w:rPr>
                <w:rFonts w:hint="eastAsia" w:ascii="宋体" w:hAnsi="宋体" w:eastAsia="宋体" w:cs="宋体"/>
                <w:b w:val="0"/>
                <w:bCs w:val="0"/>
                <w:i w:val="0"/>
                <w:iCs w:val="0"/>
                <w:smallCaps w:val="0"/>
                <w:color w:val="000000"/>
                <w:kern w:val="0"/>
                <w:sz w:val="21"/>
                <w:szCs w:val="21"/>
                <w:highlight w:val="none"/>
                <w:lang w:eastAsia="zh-CN"/>
              </w:rPr>
              <w:t>每月付款</w:t>
            </w:r>
          </w:p>
        </w:tc>
        <w:tc>
          <w:tcPr>
            <w:tcW w:w="375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keepNext w:val="0"/>
              <w:keepLines w:val="0"/>
              <w:widowControl/>
              <w:suppressLineNumbers w:val="0"/>
              <w:spacing w:before="0" w:beforeAutospacing="0" w:after="0" w:afterAutospacing="0" w:line="360" w:lineRule="auto"/>
              <w:ind w:left="0" w:right="0" w:firstLine="420" w:firstLineChars="200"/>
              <w:jc w:val="both"/>
              <w:outlineLvl w:val="1"/>
              <w:rPr>
                <w:rFonts w:hint="default" w:ascii="宋体" w:hAnsi="宋体" w:eastAsia="宋体" w:cs="宋体"/>
                <w:b w:val="0"/>
                <w:bCs w:val="0"/>
                <w:i w:val="0"/>
                <w:iCs w:val="0"/>
                <w:smallCaps w:val="0"/>
                <w:color w:val="000000"/>
                <w:kern w:val="0"/>
                <w:sz w:val="21"/>
                <w:szCs w:val="21"/>
                <w:highlight w:val="none"/>
                <w:lang w:eastAsia="zh-CN"/>
              </w:rPr>
            </w:pPr>
            <w:r>
              <w:rPr>
                <w:rFonts w:hint="eastAsia" w:ascii="宋体" w:hAnsi="宋体" w:eastAsia="宋体" w:cs="宋体"/>
                <w:kern w:val="0"/>
                <w:sz w:val="21"/>
                <w:szCs w:val="21"/>
                <w:highlight w:val="none"/>
              </w:rPr>
              <w:t>根据《国家税务总局大连市税务局第三税务分局非执法类辅助服务考核表》的考核结果，按照实际验收情况结算，原则上每月结算支付一次。注：满足合同约定付款支付条件的，我局原则上应当自收到发票后10个工作日内将资金支付到合同约定的供应商账户，双方另有争议除外。</w:t>
            </w:r>
          </w:p>
        </w:tc>
      </w:tr>
    </w:tbl>
    <w:p>
      <w:pPr>
        <w:widowControl/>
        <w:spacing w:line="360" w:lineRule="auto"/>
        <w:jc w:val="left"/>
        <w:outlineLvl w:val="0"/>
        <w:rPr>
          <w:rFonts w:hint="eastAsia" w:ascii="宋体" w:hAnsi="宋体" w:eastAsia="宋体" w:cs="宋体"/>
          <w:b/>
          <w:bCs/>
          <w:i/>
          <w:iCs/>
          <w:kern w:val="0"/>
          <w:sz w:val="21"/>
          <w:szCs w:val="21"/>
          <w:lang w:eastAsia="en-US"/>
        </w:rPr>
      </w:pPr>
      <w:bookmarkStart w:id="192" w:name="_Toc17079"/>
      <w:bookmarkStart w:id="193" w:name="_Toc256000035"/>
      <w:bookmarkStart w:id="194" w:name="_Toc9359"/>
      <w:r>
        <w:rPr>
          <w:rFonts w:hint="eastAsia" w:ascii="宋体" w:hAnsi="宋体" w:eastAsia="宋体" w:cs="宋体"/>
          <w:b/>
          <w:bCs/>
          <w:kern w:val="0"/>
          <w:sz w:val="21"/>
          <w:szCs w:val="21"/>
          <w:lang w:eastAsia="en-US"/>
        </w:rPr>
        <w:t>8.3其他要求</w:t>
      </w:r>
      <w:bookmarkEnd w:id="192"/>
      <w:bookmarkEnd w:id="193"/>
      <w:bookmarkEnd w:id="194"/>
    </w:p>
    <w:p>
      <w:pPr>
        <w:spacing w:line="360" w:lineRule="auto"/>
        <w:rPr>
          <w:rFonts w:hint="eastAsia" w:asciiTheme="majorEastAsia" w:hAnsiTheme="majorEastAsia" w:eastAsiaTheme="majorEastAsia" w:cstheme="majorEastAsia"/>
          <w:b/>
          <w:bCs/>
          <w:spacing w:val="-3"/>
          <w:szCs w:val="21"/>
        </w:rPr>
      </w:pPr>
      <w:r>
        <w:rPr>
          <w:rFonts w:hint="eastAsia" w:asciiTheme="majorEastAsia" w:hAnsiTheme="majorEastAsia" w:eastAsiaTheme="majorEastAsia" w:cstheme="majorEastAsia"/>
          <w:b/>
          <w:bCs/>
          <w:spacing w:val="-3"/>
          <w:szCs w:val="21"/>
        </w:rPr>
        <w:t>8.3.1保密要求</w:t>
      </w:r>
    </w:p>
    <w:p>
      <w:pPr>
        <w:spacing w:line="360" w:lineRule="auto"/>
        <w:ind w:firstLine="408" w:firstLineChars="200"/>
        <w:rPr>
          <w:rFonts w:hint="eastAsia" w:asciiTheme="majorEastAsia" w:hAnsiTheme="majorEastAsia" w:eastAsiaTheme="majorEastAsia" w:cstheme="majorEastAsia"/>
          <w:spacing w:val="-3"/>
          <w:szCs w:val="21"/>
        </w:rPr>
      </w:pPr>
      <w:r>
        <w:rPr>
          <w:rFonts w:hint="eastAsia" w:asciiTheme="majorEastAsia" w:hAnsiTheme="majorEastAsia" w:eastAsiaTheme="majorEastAsia" w:cstheme="majorEastAsia"/>
          <w:spacing w:val="-3"/>
          <w:szCs w:val="21"/>
        </w:rPr>
        <w:t>★供应商需确保派驻人员严格遵守国家保密制度，接受采购方保密工作统一要求，避免违规泄密事项的发生。</w:t>
      </w:r>
    </w:p>
    <w:p>
      <w:pPr>
        <w:spacing w:line="360" w:lineRule="auto"/>
        <w:rPr>
          <w:rFonts w:hint="eastAsia" w:asciiTheme="majorEastAsia" w:hAnsiTheme="majorEastAsia" w:eastAsiaTheme="majorEastAsia" w:cstheme="majorEastAsia"/>
          <w:b/>
          <w:bCs/>
          <w:spacing w:val="-3"/>
          <w:szCs w:val="21"/>
        </w:rPr>
      </w:pPr>
      <w:r>
        <w:rPr>
          <w:rFonts w:hint="eastAsia" w:asciiTheme="majorEastAsia" w:hAnsiTheme="majorEastAsia" w:eastAsiaTheme="majorEastAsia" w:cstheme="majorEastAsia"/>
          <w:b/>
          <w:bCs/>
          <w:spacing w:val="-3"/>
          <w:szCs w:val="21"/>
        </w:rPr>
        <w:t>8.3.2知识转移、知识产权、项目归档要求</w:t>
      </w:r>
    </w:p>
    <w:p>
      <w:pPr>
        <w:spacing w:line="360" w:lineRule="auto"/>
        <w:ind w:firstLine="408" w:firstLineChars="200"/>
        <w:rPr>
          <w:rFonts w:hint="eastAsia" w:asciiTheme="majorEastAsia" w:hAnsiTheme="majorEastAsia" w:eastAsiaTheme="majorEastAsia" w:cstheme="majorEastAsia"/>
          <w:spacing w:val="-3"/>
          <w:szCs w:val="21"/>
        </w:rPr>
      </w:pPr>
      <w:r>
        <w:rPr>
          <w:rFonts w:hint="eastAsia" w:asciiTheme="majorEastAsia" w:hAnsiTheme="majorEastAsia" w:eastAsiaTheme="majorEastAsia" w:cstheme="majorEastAsia"/>
          <w:spacing w:val="-3"/>
          <w:szCs w:val="21"/>
        </w:rPr>
        <w:t>供应商要采取有效方法、途径保证采购人能顺利完成本项目服务过程中各阶段服务方案产出的吸收和转移。供应商应保证所提供的服务免受第三方提出侵犯其知识产权（专利权、商标权、版权等）的起诉。因侵害他人知识产权而产生的法律责任，全部由供应商承担。项目验收前，供应商需要遵照采购人要求配合其完成对项目资料的归档工作。</w:t>
      </w:r>
    </w:p>
    <w:p>
      <w:pPr>
        <w:spacing w:line="360" w:lineRule="auto"/>
        <w:rPr>
          <w:rFonts w:hint="eastAsia" w:asciiTheme="majorEastAsia" w:hAnsiTheme="majorEastAsia" w:eastAsiaTheme="majorEastAsia" w:cstheme="majorEastAsia"/>
          <w:b/>
          <w:bCs/>
          <w:spacing w:val="-3"/>
          <w:szCs w:val="21"/>
        </w:rPr>
      </w:pPr>
      <w:r>
        <w:rPr>
          <w:rFonts w:hint="eastAsia" w:asciiTheme="majorEastAsia" w:hAnsiTheme="majorEastAsia" w:eastAsiaTheme="majorEastAsia" w:cstheme="majorEastAsia"/>
          <w:b/>
          <w:bCs/>
          <w:spacing w:val="-3"/>
          <w:szCs w:val="21"/>
        </w:rPr>
        <w:t>8.3.3其他</w:t>
      </w:r>
    </w:p>
    <w:p>
      <w:pPr>
        <w:spacing w:line="360" w:lineRule="auto"/>
        <w:ind w:firstLine="408" w:firstLineChars="200"/>
        <w:rPr>
          <w:rFonts w:hint="eastAsia" w:asciiTheme="majorEastAsia" w:hAnsiTheme="majorEastAsia" w:eastAsiaTheme="majorEastAsia" w:cstheme="majorEastAsia"/>
          <w:spacing w:val="-3"/>
          <w:szCs w:val="21"/>
        </w:rPr>
      </w:pPr>
      <w:r>
        <w:rPr>
          <w:rFonts w:hint="eastAsia" w:asciiTheme="majorEastAsia" w:hAnsiTheme="majorEastAsia" w:eastAsiaTheme="majorEastAsia" w:cstheme="majorEastAsia"/>
          <w:spacing w:val="-3"/>
          <w:szCs w:val="21"/>
        </w:rPr>
        <w:t>★（1）供应商对履行合同期内所发生的用工人员在任何时候、任何情况下发生的意外伤害事故等涉及的责任和事故赔偿负全部责任。</w:t>
      </w:r>
    </w:p>
    <w:p>
      <w:pPr>
        <w:spacing w:line="360" w:lineRule="auto"/>
        <w:ind w:firstLine="408" w:firstLineChars="200"/>
        <w:rPr>
          <w:rFonts w:hint="eastAsia" w:asciiTheme="majorEastAsia" w:hAnsiTheme="majorEastAsia" w:eastAsiaTheme="majorEastAsia" w:cstheme="majorEastAsia"/>
          <w:spacing w:val="-3"/>
          <w:szCs w:val="21"/>
        </w:rPr>
      </w:pPr>
      <w:r>
        <w:rPr>
          <w:rFonts w:hint="eastAsia" w:asciiTheme="majorEastAsia" w:hAnsiTheme="majorEastAsia" w:eastAsiaTheme="majorEastAsia" w:cstheme="majorEastAsia"/>
          <w:spacing w:val="-3"/>
          <w:szCs w:val="21"/>
        </w:rPr>
        <w:t>★（2）投标预算内费用包括</w:t>
      </w:r>
      <w:r>
        <w:rPr>
          <w:rFonts w:hint="eastAsia" w:asciiTheme="majorEastAsia" w:hAnsiTheme="majorEastAsia" w:eastAsiaTheme="majorEastAsia" w:cstheme="majorEastAsia"/>
          <w:spacing w:val="-3"/>
          <w:szCs w:val="21"/>
          <w:lang w:eastAsia="zh-CN"/>
        </w:rPr>
        <w:t>按采购人要求完成该项目的</w:t>
      </w:r>
      <w:r>
        <w:rPr>
          <w:rFonts w:hint="eastAsia" w:asciiTheme="majorEastAsia" w:hAnsiTheme="majorEastAsia" w:eastAsiaTheme="majorEastAsia" w:cstheme="majorEastAsia"/>
          <w:spacing w:val="-3"/>
          <w:szCs w:val="21"/>
        </w:rPr>
        <w:t>一切成本，除此之外采购人不再支付其他费用。</w:t>
      </w:r>
    </w:p>
    <w:p>
      <w:pPr>
        <w:spacing w:line="360" w:lineRule="auto"/>
        <w:ind w:firstLine="408" w:firstLineChars="200"/>
        <w:rPr>
          <w:rFonts w:hint="eastAsia" w:asciiTheme="majorEastAsia" w:hAnsiTheme="majorEastAsia" w:eastAsiaTheme="majorEastAsia" w:cstheme="majorEastAsia"/>
          <w:spacing w:val="-3"/>
          <w:szCs w:val="21"/>
        </w:rPr>
      </w:pPr>
      <w:r>
        <w:rPr>
          <w:rFonts w:hint="eastAsia" w:asciiTheme="majorEastAsia" w:hAnsiTheme="majorEastAsia" w:eastAsiaTheme="majorEastAsia" w:cstheme="majorEastAsia"/>
          <w:spacing w:val="-3"/>
          <w:szCs w:val="21"/>
        </w:rPr>
        <w:t>★（3）供应商的报价必须包括完成本次招标范围内全部项目，如报价中没有明确提出不包括在预算内的项目，将被视为报价中已包含。</w:t>
      </w:r>
    </w:p>
    <w:p>
      <w:pPr>
        <w:spacing w:line="360" w:lineRule="auto"/>
        <w:ind w:firstLine="408" w:firstLineChars="200"/>
        <w:rPr>
          <w:rFonts w:hint="eastAsia" w:asciiTheme="majorEastAsia" w:hAnsiTheme="majorEastAsia" w:eastAsiaTheme="majorEastAsia" w:cstheme="majorEastAsia"/>
          <w:spacing w:val="-3"/>
          <w:szCs w:val="21"/>
        </w:rPr>
      </w:pPr>
      <w:r>
        <w:rPr>
          <w:rFonts w:hint="eastAsia" w:asciiTheme="majorEastAsia" w:hAnsiTheme="majorEastAsia" w:eastAsiaTheme="majorEastAsia" w:cstheme="majorEastAsia"/>
          <w:spacing w:val="-3"/>
          <w:szCs w:val="21"/>
        </w:rPr>
        <w:t>（4）提供服务的人员，如需就餐的，需按照相关规定缴纳费用。</w:t>
      </w:r>
    </w:p>
    <w:p>
      <w:pPr>
        <w:widowControl/>
        <w:spacing w:line="360" w:lineRule="auto"/>
        <w:jc w:val="left"/>
        <w:rPr>
          <w:rFonts w:ascii="黑体" w:hAnsi="黑体" w:eastAsia="黑体" w:cs="黑体"/>
          <w:szCs w:val="21"/>
        </w:rPr>
      </w:pPr>
    </w:p>
    <w:p/>
    <w:p>
      <w:pPr>
        <w:widowControl/>
        <w:spacing w:line="360" w:lineRule="auto"/>
        <w:ind w:firstLine="630"/>
        <w:jc w:val="left"/>
        <w:rPr>
          <w:rFonts w:ascii="FangSong_GB2312" w:hAnsi="FangSong_GB2312" w:eastAsia="FangSong_GB2312" w:cs="FangSong_GB2312"/>
          <w:kern w:val="0"/>
          <w:szCs w:val="21"/>
        </w:rPr>
      </w:pPr>
    </w:p>
    <w:p>
      <w:pPr>
        <w:widowControl/>
        <w:spacing w:line="360" w:lineRule="auto"/>
        <w:jc w:val="left"/>
        <w:rPr>
          <w:rFonts w:ascii="Times New Roman" w:hAnsi="Times New Roman" w:eastAsia="Times New Roman" w:cs="Times New Roman"/>
          <w:kern w:val="0"/>
          <w:szCs w:val="21"/>
        </w:rPr>
      </w:pPr>
    </w:p>
    <w:p>
      <w:pPr>
        <w:spacing w:line="360" w:lineRule="auto"/>
        <w:ind w:firstLine="408" w:firstLineChars="200"/>
        <w:rPr>
          <w:rFonts w:ascii="FangSong_GB2312" w:hAnsi="FangSong_GB2312" w:eastAsia="FangSong_GB2312" w:cs="FangSong_GB2312"/>
          <w:spacing w:val="-3"/>
          <w:szCs w:val="21"/>
        </w:rPr>
      </w:pPr>
    </w:p>
    <w:p>
      <w:pPr>
        <w:widowControl/>
        <w:spacing w:line="360" w:lineRule="auto"/>
        <w:jc w:val="left"/>
        <w:rPr>
          <w:rFonts w:ascii="黑体" w:hAnsi="黑体" w:eastAsia="黑体" w:cs="黑体"/>
          <w:szCs w:val="21"/>
        </w:rPr>
      </w:pPr>
    </w:p>
    <w:p/>
    <w:p/>
    <w:sectPr>
      <w:footerReference r:id="rId5" w:type="default"/>
      <w:pgSz w:w="11906" w:h="16838"/>
      <w:pgMar w:top="1440" w:right="1800" w:bottom="1440" w:left="1800" w:header="851" w:footer="992" w:gutter="0"/>
      <w:cols w:space="720" w:num="1"/>
      <w:docGrid w:type="lines" w:linePitch="312"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葛佳" w:date="2025-12-03T17:32:09Z" w:initials="">
    <w:p w14:paraId="7FBF5C01">
      <w:pPr>
        <w:pStyle w:val="9"/>
        <w:rPr>
          <w:rFonts w:hint="eastAsia" w:eastAsia="宋体"/>
          <w:lang w:eastAsia="zh-CN"/>
        </w:rPr>
      </w:pPr>
      <w:r>
        <w:rPr>
          <w:rFonts w:hint="eastAsia"/>
          <w:lang w:eastAsia="zh-CN"/>
        </w:rPr>
        <w:t>是否保留</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7FBF5C01"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roman"/>
    <w:pitch w:val="default"/>
    <w:sig w:usb0="00000000" w:usb1="00000000"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Cambria">
    <w:altName w:val="Noto Sans Syriac Eastern"/>
    <w:panose1 w:val="02040503050406030204"/>
    <w:charset w:val="00"/>
    <w:family w:val="roman"/>
    <w:pitch w:val="default"/>
    <w:sig w:usb0="00000000" w:usb1="00000000" w:usb2="00000000" w:usb3="00000000" w:csb0="2000019F" w:csb1="00000000"/>
  </w:font>
  <w:font w:name="方正大标宋简体">
    <w:panose1 w:val="02010601030101010101"/>
    <w:charset w:val="86"/>
    <w:family w:val="script"/>
    <w:pitch w:val="default"/>
    <w:sig w:usb0="00000001" w:usb1="080E0000" w:usb2="00000000" w:usb3="00000000" w:csb0="00040000" w:csb1="00000000"/>
  </w:font>
  <w:font w:name="FangSong_GB2312">
    <w:panose1 w:val="02010609030101010101"/>
    <w:charset w:val="86"/>
    <w:family w:val="modern"/>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DejaVu Sans">
    <w:panose1 w:val="020B0603030804020204"/>
    <w:charset w:val="00"/>
    <w:family w:val="auto"/>
    <w:pitch w:val="default"/>
    <w:sig w:usb0="E7006EFF" w:usb1="D200FDFF" w:usb2="0A246029" w:usb3="0400200C" w:csb0="600001FF" w:csb1="DFFF0000"/>
  </w:font>
  <w:font w:name="微软雅黑">
    <w:panose1 w:val="020B0503020204020204"/>
    <w:charset w:val="86"/>
    <w:family w:val="auto"/>
    <w:pitch w:val="default"/>
    <w:sig w:usb0="80000287" w:usb1="2A0F3C52" w:usb2="00000016" w:usb3="00000000" w:csb0="0004001F" w:csb1="00000000"/>
  </w:font>
  <w:font w:name="Noto Sans Syriac Eastern">
    <w:panose1 w:val="02040503050306020203"/>
    <w:charset w:val="86"/>
    <w:family w:val="auto"/>
    <w:pitch w:val="default"/>
    <w:sig w:usb0="00000000" w:usb1="00000000" w:usb2="00000080" w:usb3="00000000" w:csb0="203E0161" w:csb1="D7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beforeLines="0" w:afterLines="0" w:line="176" w:lineRule="auto"/>
      <w:ind w:left="0"/>
      <w:rPr>
        <w:rFonts w:hint="default" w:ascii="Calibri" w:hAnsi="Calibri" w:eastAsia="Calibri" w:cs="Calibri"/>
        <w:sz w:val="20"/>
        <w:szCs w:val="20"/>
      </w:rPr>
    </w:pPr>
  </w:p>
</w:ft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葛佳">
    <w15:presenceInfo w15:providerId="None" w15:userId="葛佳"/>
  </w15:person>
  <w15:person w15:author="张碧容">
    <w15:presenceInfo w15:providerId="None" w15:userId="张碧容"/>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false"/>
  <w:bordersDoNotSurroundFooter w:val="false"/>
  <w:revisionView w:markup="0"/>
  <w:trackRevisions w:val="tru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172A27"/>
    <w:rsid w:val="0082105F"/>
    <w:rsid w:val="00967C81"/>
    <w:rsid w:val="00E361A3"/>
    <w:rsid w:val="00E64434"/>
    <w:rsid w:val="012E1088"/>
    <w:rsid w:val="0187618E"/>
    <w:rsid w:val="02B6413D"/>
    <w:rsid w:val="03D82680"/>
    <w:rsid w:val="044F534F"/>
    <w:rsid w:val="050305C1"/>
    <w:rsid w:val="053836F0"/>
    <w:rsid w:val="05AD289E"/>
    <w:rsid w:val="061D3D43"/>
    <w:rsid w:val="069563F5"/>
    <w:rsid w:val="074D406B"/>
    <w:rsid w:val="076D224B"/>
    <w:rsid w:val="08493AAB"/>
    <w:rsid w:val="086752CD"/>
    <w:rsid w:val="08AD4A8E"/>
    <w:rsid w:val="08DA2C94"/>
    <w:rsid w:val="090F777B"/>
    <w:rsid w:val="0A61534E"/>
    <w:rsid w:val="0A7322ED"/>
    <w:rsid w:val="0B6947A3"/>
    <w:rsid w:val="0CA90BD7"/>
    <w:rsid w:val="0CEB2D3E"/>
    <w:rsid w:val="0CEC1EEC"/>
    <w:rsid w:val="0DCB5FB8"/>
    <w:rsid w:val="0DE644D0"/>
    <w:rsid w:val="0FA933C0"/>
    <w:rsid w:val="0FE55E9A"/>
    <w:rsid w:val="10A87B1C"/>
    <w:rsid w:val="10AE7A23"/>
    <w:rsid w:val="11B147AE"/>
    <w:rsid w:val="12540573"/>
    <w:rsid w:val="12EE7112"/>
    <w:rsid w:val="131A7F0A"/>
    <w:rsid w:val="13BA2EC2"/>
    <w:rsid w:val="14A167D2"/>
    <w:rsid w:val="14FE59E5"/>
    <w:rsid w:val="155618F4"/>
    <w:rsid w:val="160A27F6"/>
    <w:rsid w:val="1730136F"/>
    <w:rsid w:val="17312FB3"/>
    <w:rsid w:val="188B1673"/>
    <w:rsid w:val="19AB4512"/>
    <w:rsid w:val="1A1F6042"/>
    <w:rsid w:val="1C6A3880"/>
    <w:rsid w:val="1CA91505"/>
    <w:rsid w:val="1D377069"/>
    <w:rsid w:val="1EBF675C"/>
    <w:rsid w:val="1F7F2241"/>
    <w:rsid w:val="1FDB554D"/>
    <w:rsid w:val="1FFE695B"/>
    <w:rsid w:val="20B26A74"/>
    <w:rsid w:val="218E448B"/>
    <w:rsid w:val="21F61D26"/>
    <w:rsid w:val="226F0FB9"/>
    <w:rsid w:val="228F59A3"/>
    <w:rsid w:val="249459C5"/>
    <w:rsid w:val="24995DFB"/>
    <w:rsid w:val="255A5C0D"/>
    <w:rsid w:val="25F974CA"/>
    <w:rsid w:val="263567C3"/>
    <w:rsid w:val="276A79CB"/>
    <w:rsid w:val="286B2B9B"/>
    <w:rsid w:val="288010E1"/>
    <w:rsid w:val="28ED4247"/>
    <w:rsid w:val="290A0F1C"/>
    <w:rsid w:val="292657E6"/>
    <w:rsid w:val="297B695F"/>
    <w:rsid w:val="29B84ADA"/>
    <w:rsid w:val="29FD4D36"/>
    <w:rsid w:val="2AFE81C4"/>
    <w:rsid w:val="2B234A17"/>
    <w:rsid w:val="2BF7BBEE"/>
    <w:rsid w:val="2C0C5247"/>
    <w:rsid w:val="2C1070A9"/>
    <w:rsid w:val="2D016192"/>
    <w:rsid w:val="2D240000"/>
    <w:rsid w:val="2D702A1D"/>
    <w:rsid w:val="2E3603B1"/>
    <w:rsid w:val="2E527E1A"/>
    <w:rsid w:val="2E820F1C"/>
    <w:rsid w:val="2ED03D1D"/>
    <w:rsid w:val="3034687E"/>
    <w:rsid w:val="30BD0622"/>
    <w:rsid w:val="318670F4"/>
    <w:rsid w:val="323F35BC"/>
    <w:rsid w:val="327A3464"/>
    <w:rsid w:val="327D3D5E"/>
    <w:rsid w:val="32934511"/>
    <w:rsid w:val="33D8434E"/>
    <w:rsid w:val="344C69BA"/>
    <w:rsid w:val="3542634A"/>
    <w:rsid w:val="36060C66"/>
    <w:rsid w:val="36C72908"/>
    <w:rsid w:val="37597F3F"/>
    <w:rsid w:val="377B4FDA"/>
    <w:rsid w:val="38D953A7"/>
    <w:rsid w:val="39E8751E"/>
    <w:rsid w:val="3A104669"/>
    <w:rsid w:val="3A227136"/>
    <w:rsid w:val="3A404574"/>
    <w:rsid w:val="3A407932"/>
    <w:rsid w:val="3AD441DA"/>
    <w:rsid w:val="3B1B48C3"/>
    <w:rsid w:val="3BA23D81"/>
    <w:rsid w:val="3BD84FCE"/>
    <w:rsid w:val="3BDB8897"/>
    <w:rsid w:val="3C413B5F"/>
    <w:rsid w:val="3CBB32CD"/>
    <w:rsid w:val="3CCA7D48"/>
    <w:rsid w:val="3CDC0DF0"/>
    <w:rsid w:val="3CF43A33"/>
    <w:rsid w:val="3D546621"/>
    <w:rsid w:val="3DBF7494"/>
    <w:rsid w:val="3E5D94B4"/>
    <w:rsid w:val="3EA00C5D"/>
    <w:rsid w:val="3F291388"/>
    <w:rsid w:val="3F3146B5"/>
    <w:rsid w:val="3FAC7CEA"/>
    <w:rsid w:val="3FBD3F53"/>
    <w:rsid w:val="3FDB9933"/>
    <w:rsid w:val="3FFB4F3E"/>
    <w:rsid w:val="41A37443"/>
    <w:rsid w:val="42DE6055"/>
    <w:rsid w:val="44250215"/>
    <w:rsid w:val="456C52AA"/>
    <w:rsid w:val="45DC179C"/>
    <w:rsid w:val="45EB2A99"/>
    <w:rsid w:val="46221FE8"/>
    <w:rsid w:val="47573126"/>
    <w:rsid w:val="482F0CF7"/>
    <w:rsid w:val="48FD1AAC"/>
    <w:rsid w:val="49F92273"/>
    <w:rsid w:val="4AA140F2"/>
    <w:rsid w:val="4B1C60D2"/>
    <w:rsid w:val="4B49670E"/>
    <w:rsid w:val="4B716F3A"/>
    <w:rsid w:val="4BF9728A"/>
    <w:rsid w:val="4CDB9369"/>
    <w:rsid w:val="4D5A0939"/>
    <w:rsid w:val="4DF95A60"/>
    <w:rsid w:val="4F362784"/>
    <w:rsid w:val="4F802A10"/>
    <w:rsid w:val="50EA1987"/>
    <w:rsid w:val="51487BB4"/>
    <w:rsid w:val="52280EA2"/>
    <w:rsid w:val="52604F18"/>
    <w:rsid w:val="52624A4B"/>
    <w:rsid w:val="52772918"/>
    <w:rsid w:val="53E247B9"/>
    <w:rsid w:val="53FFC54A"/>
    <w:rsid w:val="540E22E8"/>
    <w:rsid w:val="54151868"/>
    <w:rsid w:val="5438038D"/>
    <w:rsid w:val="55B654BC"/>
    <w:rsid w:val="55C8659E"/>
    <w:rsid w:val="56D303AE"/>
    <w:rsid w:val="59467E06"/>
    <w:rsid w:val="5C281166"/>
    <w:rsid w:val="5C566925"/>
    <w:rsid w:val="5C99183D"/>
    <w:rsid w:val="5EB445E0"/>
    <w:rsid w:val="5EFD3D01"/>
    <w:rsid w:val="5F644AA0"/>
    <w:rsid w:val="5F694DC9"/>
    <w:rsid w:val="5FFA8A19"/>
    <w:rsid w:val="5FFE690D"/>
    <w:rsid w:val="61752853"/>
    <w:rsid w:val="62B67929"/>
    <w:rsid w:val="636574AA"/>
    <w:rsid w:val="63BD13CB"/>
    <w:rsid w:val="649C7B40"/>
    <w:rsid w:val="64FF3ECF"/>
    <w:rsid w:val="654037AD"/>
    <w:rsid w:val="65DD10C4"/>
    <w:rsid w:val="66372649"/>
    <w:rsid w:val="67D53CB7"/>
    <w:rsid w:val="67E759F6"/>
    <w:rsid w:val="68940FB6"/>
    <w:rsid w:val="689F2F8D"/>
    <w:rsid w:val="696558B4"/>
    <w:rsid w:val="69870AF9"/>
    <w:rsid w:val="69B02C7D"/>
    <w:rsid w:val="69B54B34"/>
    <w:rsid w:val="69BB70ED"/>
    <w:rsid w:val="69F32CE9"/>
    <w:rsid w:val="69FB4D5A"/>
    <w:rsid w:val="6A934E6A"/>
    <w:rsid w:val="6B870B79"/>
    <w:rsid w:val="6C774359"/>
    <w:rsid w:val="6CEE748D"/>
    <w:rsid w:val="6D0A6349"/>
    <w:rsid w:val="6E2507BE"/>
    <w:rsid w:val="6E386C2E"/>
    <w:rsid w:val="6F1F363C"/>
    <w:rsid w:val="6F768DD6"/>
    <w:rsid w:val="6FA13169"/>
    <w:rsid w:val="6FE7007A"/>
    <w:rsid w:val="6FFD4AD6"/>
    <w:rsid w:val="70D63EA7"/>
    <w:rsid w:val="70F7C2F1"/>
    <w:rsid w:val="71032D84"/>
    <w:rsid w:val="71086A7A"/>
    <w:rsid w:val="71125F80"/>
    <w:rsid w:val="71267097"/>
    <w:rsid w:val="71D72761"/>
    <w:rsid w:val="721F73AD"/>
    <w:rsid w:val="72CC4774"/>
    <w:rsid w:val="74067AE0"/>
    <w:rsid w:val="740C7AC3"/>
    <w:rsid w:val="745D20EC"/>
    <w:rsid w:val="747E08D4"/>
    <w:rsid w:val="74C15D5F"/>
    <w:rsid w:val="753F0BD2"/>
    <w:rsid w:val="754959AB"/>
    <w:rsid w:val="766017DB"/>
    <w:rsid w:val="76F46B04"/>
    <w:rsid w:val="78262301"/>
    <w:rsid w:val="793E7D90"/>
    <w:rsid w:val="79B92B5E"/>
    <w:rsid w:val="7A5351E1"/>
    <w:rsid w:val="7AAB0C15"/>
    <w:rsid w:val="7AAC0671"/>
    <w:rsid w:val="7B5C495B"/>
    <w:rsid w:val="7BAA32CC"/>
    <w:rsid w:val="7BFBC0A6"/>
    <w:rsid w:val="7C4411A6"/>
    <w:rsid w:val="7CED9232"/>
    <w:rsid w:val="7D75FFE9"/>
    <w:rsid w:val="7DE61110"/>
    <w:rsid w:val="7DFFA8A9"/>
    <w:rsid w:val="7E2EE772"/>
    <w:rsid w:val="7E783A3C"/>
    <w:rsid w:val="7EAF7BC1"/>
    <w:rsid w:val="7F36450D"/>
    <w:rsid w:val="7F51215E"/>
    <w:rsid w:val="7F9F99BA"/>
    <w:rsid w:val="7FBD223B"/>
    <w:rsid w:val="7FEFF17F"/>
    <w:rsid w:val="7FF20BA1"/>
    <w:rsid w:val="7FF2836A"/>
    <w:rsid w:val="9B3FC464"/>
    <w:rsid w:val="9EDEDE35"/>
    <w:rsid w:val="A77C1FAC"/>
    <w:rsid w:val="AB2BB6A6"/>
    <w:rsid w:val="B5ED0E14"/>
    <w:rsid w:val="B7C3071F"/>
    <w:rsid w:val="B7FB0212"/>
    <w:rsid w:val="BBBF2E68"/>
    <w:rsid w:val="BBF5C3B3"/>
    <w:rsid w:val="BD8DC02D"/>
    <w:rsid w:val="BF7AF17C"/>
    <w:rsid w:val="BFEE1696"/>
    <w:rsid w:val="CDFFCDA9"/>
    <w:rsid w:val="D4FA3DBE"/>
    <w:rsid w:val="DBC74D85"/>
    <w:rsid w:val="DF9EAEAD"/>
    <w:rsid w:val="DFBFE244"/>
    <w:rsid w:val="EBF77286"/>
    <w:rsid w:val="ECCC2D00"/>
    <w:rsid w:val="EF76E508"/>
    <w:rsid w:val="F29B7081"/>
    <w:rsid w:val="F63FCD2A"/>
    <w:rsid w:val="F6B55511"/>
    <w:rsid w:val="F6EBE497"/>
    <w:rsid w:val="F77BCB43"/>
    <w:rsid w:val="F7BF5A5B"/>
    <w:rsid w:val="F83F3317"/>
    <w:rsid w:val="F94D8145"/>
    <w:rsid w:val="FB5F485B"/>
    <w:rsid w:val="FB7FBDBC"/>
    <w:rsid w:val="FBFFFFB8"/>
    <w:rsid w:val="FE5348DB"/>
    <w:rsid w:val="FF6EAEC5"/>
    <w:rsid w:val="FF7ECFD7"/>
    <w:rsid w:val="FFDDDB4F"/>
    <w:rsid w:val="FFDDFBFF"/>
    <w:rsid w:val="FFEAAC2B"/>
    <w:rsid w:val="FFFA9B19"/>
    <w:rsid w:val="FFFC3A4E"/>
    <w:rsid w:val="FFFF6C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qFormat="1" w:unhideWhenUsed="0" w:uiPriority="99" w:semiHidden="0"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nhideWhenUsed="0" w:uiPriority="0" w:semiHidden="0"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99"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26"/>
    <w:qFormat/>
    <w:uiPriority w:val="9"/>
    <w:pPr>
      <w:keepNext/>
      <w:keepLines/>
      <w:spacing w:before="260" w:after="260" w:line="360" w:lineRule="auto"/>
      <w:jc w:val="left"/>
      <w:outlineLvl w:val="1"/>
    </w:pPr>
    <w:rPr>
      <w:rFonts w:ascii="Cambria" w:hAnsi="Cambria" w:eastAsia="方正大标宋简体" w:cs="Times New Roman"/>
      <w:bCs/>
      <w:sz w:val="36"/>
      <w:szCs w:val="32"/>
    </w:rPr>
  </w:style>
  <w:style w:type="paragraph" w:styleId="3">
    <w:name w:val="heading 3"/>
    <w:basedOn w:val="1"/>
    <w:next w:val="1"/>
    <w:link w:val="27"/>
    <w:qFormat/>
    <w:uiPriority w:val="0"/>
    <w:pPr>
      <w:keepNext/>
      <w:keepLines/>
      <w:adjustRightInd w:val="0"/>
      <w:spacing w:before="260" w:after="260" w:line="360" w:lineRule="auto"/>
      <w:jc w:val="left"/>
      <w:outlineLvl w:val="2"/>
    </w:pPr>
    <w:rPr>
      <w:rFonts w:ascii="Calibri" w:hAnsi="Calibri" w:eastAsia="黑体" w:cs="Times New Roman"/>
      <w:bCs/>
      <w:kern w:val="0"/>
      <w:sz w:val="32"/>
      <w:szCs w:val="32"/>
    </w:rPr>
  </w:style>
  <w:style w:type="paragraph" w:styleId="4">
    <w:name w:val="heading 4"/>
    <w:basedOn w:val="1"/>
    <w:next w:val="1"/>
    <w:link w:val="58"/>
    <w:qFormat/>
    <w:uiPriority w:val="0"/>
    <w:pPr>
      <w:keepNext/>
      <w:keepLines/>
      <w:spacing w:before="280" w:after="290" w:line="376" w:lineRule="auto"/>
      <w:outlineLvl w:val="3"/>
    </w:pPr>
    <w:rPr>
      <w:rFonts w:ascii="Cambria" w:hAnsi="Cambria" w:eastAsia="宋体" w:cs="Times New Roman"/>
      <w:b/>
      <w:bCs/>
      <w:sz w:val="28"/>
      <w:szCs w:val="28"/>
    </w:rPr>
  </w:style>
  <w:style w:type="paragraph" w:styleId="5">
    <w:name w:val="heading 5"/>
    <w:basedOn w:val="6"/>
    <w:next w:val="7"/>
    <w:link w:val="29"/>
    <w:qFormat/>
    <w:uiPriority w:val="9"/>
    <w:pPr>
      <w:keepNext/>
      <w:keepLines/>
      <w:tabs>
        <w:tab w:val="left" w:pos="780"/>
      </w:tabs>
      <w:spacing w:before="280" w:after="290" w:line="377" w:lineRule="auto"/>
      <w:ind w:firstLine="200" w:firstLineChars="200"/>
      <w:outlineLvl w:val="4"/>
    </w:pPr>
    <w:rPr>
      <w:rFonts w:ascii="Times New Roman" w:hAnsi="Times New Roman" w:eastAsia="FangSong_GB2312" w:cs="宋体"/>
      <w:bCs/>
      <w:szCs w:val="28"/>
    </w:rPr>
  </w:style>
  <w:style w:type="character" w:default="1" w:styleId="22">
    <w:name w:val="Default Paragraph Font"/>
    <w:semiHidden/>
    <w:unhideWhenUsed/>
    <w:qFormat/>
    <w:uiPriority w:val="1"/>
  </w:style>
  <w:style w:type="table" w:default="1" w:styleId="20">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6">
    <w:name w:val="List Number 2"/>
    <w:basedOn w:val="1"/>
    <w:qFormat/>
    <w:uiPriority w:val="0"/>
    <w:pPr>
      <w:tabs>
        <w:tab w:val="left" w:pos="780"/>
      </w:tabs>
      <w:ind w:left="780" w:hanging="360"/>
    </w:pPr>
    <w:rPr>
      <w:rFonts w:ascii="Calibri" w:hAnsi="Calibri" w:eastAsia="宋体" w:cs="Times New Roman"/>
    </w:rPr>
  </w:style>
  <w:style w:type="paragraph" w:styleId="7">
    <w:name w:val="Normal (Web)"/>
    <w:basedOn w:val="1"/>
    <w:link w:val="39"/>
    <w:qFormat/>
    <w:uiPriority w:val="0"/>
    <w:pPr>
      <w:widowControl/>
      <w:spacing w:before="100" w:beforeAutospacing="1" w:after="100" w:afterAutospacing="1"/>
      <w:jc w:val="left"/>
    </w:pPr>
    <w:rPr>
      <w:rFonts w:ascii="宋体" w:hAnsi="宋体" w:eastAsia="宋体" w:cs="Times New Roman"/>
      <w:kern w:val="0"/>
      <w:sz w:val="24"/>
      <w:szCs w:val="24"/>
    </w:rPr>
  </w:style>
  <w:style w:type="paragraph" w:styleId="8">
    <w:name w:val="table of authorities"/>
    <w:basedOn w:val="1"/>
    <w:next w:val="1"/>
    <w:qFormat/>
    <w:uiPriority w:val="99"/>
    <w:pPr>
      <w:ind w:left="420" w:leftChars="200"/>
    </w:pPr>
    <w:rPr>
      <w:rFonts w:ascii="Calibri" w:hAnsi="Calibri" w:eastAsia="宋体" w:cs="宋体"/>
    </w:rPr>
  </w:style>
  <w:style w:type="paragraph" w:styleId="9">
    <w:name w:val="annotation text"/>
    <w:basedOn w:val="1"/>
    <w:link w:val="30"/>
    <w:qFormat/>
    <w:uiPriority w:val="99"/>
    <w:pPr>
      <w:jc w:val="left"/>
    </w:pPr>
    <w:rPr>
      <w:rFonts w:ascii="Calibri" w:hAnsi="Calibri" w:eastAsia="宋体" w:cs="Times New Roman"/>
    </w:rPr>
  </w:style>
  <w:style w:type="paragraph" w:styleId="10">
    <w:name w:val="Body Text"/>
    <w:basedOn w:val="1"/>
    <w:link w:val="31"/>
    <w:qFormat/>
    <w:uiPriority w:val="0"/>
    <w:rPr>
      <w:rFonts w:ascii="Calibri" w:hAnsi="Calibri" w:eastAsia="宋体" w:cs="Times New Roman"/>
      <w:b/>
      <w:szCs w:val="24"/>
    </w:rPr>
  </w:style>
  <w:style w:type="paragraph" w:styleId="11">
    <w:name w:val="toc 3"/>
    <w:basedOn w:val="1"/>
    <w:next w:val="1"/>
    <w:qFormat/>
    <w:uiPriority w:val="39"/>
    <w:pPr>
      <w:ind w:left="840" w:leftChars="400"/>
    </w:pPr>
    <w:rPr>
      <w:rFonts w:ascii="Calibri" w:hAnsi="Calibri" w:eastAsia="宋体" w:cs="Times New Roman"/>
    </w:rPr>
  </w:style>
  <w:style w:type="paragraph" w:styleId="12">
    <w:name w:val="Plain Text"/>
    <w:basedOn w:val="1"/>
    <w:link w:val="32"/>
    <w:qFormat/>
    <w:uiPriority w:val="99"/>
    <w:rPr>
      <w:rFonts w:ascii="宋体" w:hAnsi="Courier New" w:eastAsia="宋体" w:cs="Courier New"/>
      <w:szCs w:val="21"/>
    </w:rPr>
  </w:style>
  <w:style w:type="paragraph" w:styleId="13">
    <w:name w:val="Date"/>
    <w:basedOn w:val="1"/>
    <w:next w:val="1"/>
    <w:link w:val="33"/>
    <w:qFormat/>
    <w:uiPriority w:val="0"/>
    <w:pPr>
      <w:ind w:left="100" w:leftChars="2500"/>
    </w:pPr>
    <w:rPr>
      <w:rFonts w:ascii="Calibri" w:hAnsi="Calibri" w:eastAsia="宋体" w:cs="Times New Roman"/>
    </w:rPr>
  </w:style>
  <w:style w:type="paragraph" w:styleId="14">
    <w:name w:val="Balloon Text"/>
    <w:basedOn w:val="1"/>
    <w:link w:val="34"/>
    <w:qFormat/>
    <w:uiPriority w:val="99"/>
    <w:rPr>
      <w:rFonts w:ascii="Calibri" w:hAnsi="Calibri" w:eastAsia="宋体" w:cs="Times New Roman"/>
      <w:sz w:val="18"/>
      <w:szCs w:val="18"/>
    </w:rPr>
  </w:style>
  <w:style w:type="paragraph" w:styleId="15">
    <w:name w:val="footer"/>
    <w:basedOn w:val="1"/>
    <w:link w:val="35"/>
    <w:qFormat/>
    <w:uiPriority w:val="99"/>
    <w:pPr>
      <w:tabs>
        <w:tab w:val="center" w:pos="4153"/>
        <w:tab w:val="right" w:pos="8306"/>
      </w:tabs>
      <w:snapToGrid w:val="0"/>
      <w:jc w:val="left"/>
    </w:pPr>
    <w:rPr>
      <w:rFonts w:ascii="Calibri" w:hAnsi="Calibri" w:eastAsia="宋体" w:cs="Times New Roman"/>
      <w:sz w:val="18"/>
      <w:szCs w:val="18"/>
    </w:rPr>
  </w:style>
  <w:style w:type="paragraph" w:styleId="16">
    <w:name w:val="header"/>
    <w:basedOn w:val="1"/>
    <w:link w:val="36"/>
    <w:qFormat/>
    <w:uiPriority w:val="99"/>
    <w:pPr>
      <w:pBdr>
        <w:bottom w:val="single" w:color="auto" w:sz="6" w:space="1"/>
      </w:pBdr>
      <w:tabs>
        <w:tab w:val="center" w:pos="4153"/>
        <w:tab w:val="right" w:pos="8306"/>
      </w:tabs>
      <w:snapToGrid w:val="0"/>
      <w:jc w:val="center"/>
    </w:pPr>
    <w:rPr>
      <w:rFonts w:ascii="Calibri" w:hAnsi="Calibri" w:eastAsia="宋体" w:cs="Times New Roman"/>
      <w:sz w:val="18"/>
      <w:szCs w:val="18"/>
    </w:rPr>
  </w:style>
  <w:style w:type="paragraph" w:styleId="17">
    <w:name w:val="toc 1"/>
    <w:basedOn w:val="1"/>
    <w:next w:val="1"/>
    <w:qFormat/>
    <w:uiPriority w:val="39"/>
    <w:rPr>
      <w:rFonts w:ascii="Calibri" w:hAnsi="Calibri" w:eastAsia="宋体" w:cs="Times New Roman"/>
    </w:rPr>
  </w:style>
  <w:style w:type="paragraph" w:styleId="18">
    <w:name w:val="toc 2"/>
    <w:basedOn w:val="1"/>
    <w:next w:val="1"/>
    <w:qFormat/>
    <w:uiPriority w:val="39"/>
    <w:pPr>
      <w:ind w:left="420" w:leftChars="200"/>
    </w:pPr>
    <w:rPr>
      <w:rFonts w:ascii="Calibri" w:hAnsi="Calibri" w:eastAsia="宋体" w:cs="Times New Roman"/>
    </w:rPr>
  </w:style>
  <w:style w:type="paragraph" w:styleId="19">
    <w:name w:val="annotation subject"/>
    <w:basedOn w:val="9"/>
    <w:next w:val="9"/>
    <w:link w:val="37"/>
    <w:qFormat/>
    <w:uiPriority w:val="0"/>
    <w:rPr>
      <w:b/>
      <w:bCs/>
    </w:rPr>
  </w:style>
  <w:style w:type="table" w:styleId="21">
    <w:name w:val="Table Grid"/>
    <w:basedOn w:val="20"/>
    <w:qFormat/>
    <w:uiPriority w:val="3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3">
    <w:name w:val="page number"/>
    <w:basedOn w:val="22"/>
    <w:qFormat/>
    <w:uiPriority w:val="99"/>
  </w:style>
  <w:style w:type="character" w:styleId="24">
    <w:name w:val="Hyperlink"/>
    <w:qFormat/>
    <w:uiPriority w:val="99"/>
    <w:rPr>
      <w:color w:val="0000FF"/>
      <w:u w:val="single"/>
    </w:rPr>
  </w:style>
  <w:style w:type="character" w:styleId="25">
    <w:name w:val="annotation reference"/>
    <w:basedOn w:val="22"/>
    <w:qFormat/>
    <w:uiPriority w:val="99"/>
    <w:rPr>
      <w:sz w:val="21"/>
      <w:szCs w:val="21"/>
    </w:rPr>
  </w:style>
  <w:style w:type="character" w:customStyle="1" w:styleId="26">
    <w:name w:val="标题 2 Char"/>
    <w:basedOn w:val="22"/>
    <w:link w:val="2"/>
    <w:qFormat/>
    <w:uiPriority w:val="9"/>
    <w:rPr>
      <w:rFonts w:ascii="Cambria" w:hAnsi="Cambria" w:eastAsia="方正大标宋简体" w:cs="Times New Roman"/>
      <w:bCs/>
      <w:sz w:val="36"/>
      <w:szCs w:val="32"/>
    </w:rPr>
  </w:style>
  <w:style w:type="character" w:customStyle="1" w:styleId="27">
    <w:name w:val="标题 3 Char"/>
    <w:basedOn w:val="22"/>
    <w:link w:val="3"/>
    <w:qFormat/>
    <w:uiPriority w:val="0"/>
    <w:rPr>
      <w:rFonts w:ascii="Calibri" w:hAnsi="Calibri" w:eastAsia="黑体" w:cs="Times New Roman"/>
      <w:bCs/>
      <w:kern w:val="0"/>
      <w:sz w:val="32"/>
      <w:szCs w:val="32"/>
    </w:rPr>
  </w:style>
  <w:style w:type="character" w:customStyle="1" w:styleId="28">
    <w:name w:val="标题 4 Char"/>
    <w:basedOn w:val="22"/>
    <w:link w:val="4"/>
    <w:qFormat/>
    <w:uiPriority w:val="0"/>
    <w:rPr>
      <w:rFonts w:asciiTheme="majorHAnsi" w:hAnsiTheme="majorHAnsi" w:eastAsiaTheme="majorEastAsia" w:cstheme="majorBidi"/>
      <w:b/>
      <w:bCs/>
      <w:sz w:val="28"/>
      <w:szCs w:val="28"/>
    </w:rPr>
  </w:style>
  <w:style w:type="character" w:customStyle="1" w:styleId="29">
    <w:name w:val="标题 5 Char"/>
    <w:basedOn w:val="22"/>
    <w:link w:val="5"/>
    <w:qFormat/>
    <w:uiPriority w:val="9"/>
    <w:rPr>
      <w:rFonts w:ascii="Times New Roman" w:hAnsi="Times New Roman" w:eastAsia="FangSong_GB2312" w:cs="宋体"/>
      <w:bCs/>
      <w:szCs w:val="28"/>
    </w:rPr>
  </w:style>
  <w:style w:type="character" w:customStyle="1" w:styleId="30">
    <w:name w:val="批注文字 Char"/>
    <w:basedOn w:val="22"/>
    <w:link w:val="9"/>
    <w:qFormat/>
    <w:uiPriority w:val="99"/>
    <w:rPr>
      <w:rFonts w:ascii="Calibri" w:hAnsi="Calibri" w:eastAsia="宋体" w:cs="Times New Roman"/>
    </w:rPr>
  </w:style>
  <w:style w:type="character" w:customStyle="1" w:styleId="31">
    <w:name w:val="正文文本 Char"/>
    <w:basedOn w:val="22"/>
    <w:link w:val="10"/>
    <w:qFormat/>
    <w:uiPriority w:val="0"/>
    <w:rPr>
      <w:rFonts w:ascii="Calibri" w:hAnsi="Calibri" w:eastAsia="宋体" w:cs="Times New Roman"/>
      <w:b/>
      <w:szCs w:val="24"/>
    </w:rPr>
  </w:style>
  <w:style w:type="character" w:customStyle="1" w:styleId="32">
    <w:name w:val="纯文本 Char"/>
    <w:basedOn w:val="22"/>
    <w:link w:val="12"/>
    <w:qFormat/>
    <w:uiPriority w:val="99"/>
    <w:rPr>
      <w:rFonts w:ascii="宋体" w:hAnsi="Courier New" w:eastAsia="宋体" w:cs="Courier New"/>
      <w:szCs w:val="21"/>
    </w:rPr>
  </w:style>
  <w:style w:type="character" w:customStyle="1" w:styleId="33">
    <w:name w:val="日期 Char"/>
    <w:basedOn w:val="22"/>
    <w:link w:val="13"/>
    <w:qFormat/>
    <w:uiPriority w:val="0"/>
    <w:rPr>
      <w:rFonts w:ascii="Calibri" w:hAnsi="Calibri" w:eastAsia="宋体" w:cs="Times New Roman"/>
    </w:rPr>
  </w:style>
  <w:style w:type="character" w:customStyle="1" w:styleId="34">
    <w:name w:val="批注框文本 Char"/>
    <w:basedOn w:val="22"/>
    <w:link w:val="14"/>
    <w:qFormat/>
    <w:uiPriority w:val="99"/>
    <w:rPr>
      <w:rFonts w:ascii="Calibri" w:hAnsi="Calibri" w:eastAsia="宋体" w:cs="Times New Roman"/>
      <w:sz w:val="18"/>
      <w:szCs w:val="18"/>
    </w:rPr>
  </w:style>
  <w:style w:type="character" w:customStyle="1" w:styleId="35">
    <w:name w:val="页脚 Char"/>
    <w:basedOn w:val="22"/>
    <w:link w:val="15"/>
    <w:qFormat/>
    <w:uiPriority w:val="99"/>
    <w:rPr>
      <w:rFonts w:ascii="Calibri" w:hAnsi="Calibri" w:eastAsia="宋体" w:cs="Times New Roman"/>
      <w:sz w:val="18"/>
      <w:szCs w:val="18"/>
    </w:rPr>
  </w:style>
  <w:style w:type="character" w:customStyle="1" w:styleId="36">
    <w:name w:val="页眉 Char"/>
    <w:basedOn w:val="22"/>
    <w:link w:val="16"/>
    <w:qFormat/>
    <w:uiPriority w:val="99"/>
    <w:rPr>
      <w:rFonts w:ascii="Calibri" w:hAnsi="Calibri" w:eastAsia="宋体" w:cs="Times New Roman"/>
      <w:sz w:val="18"/>
      <w:szCs w:val="18"/>
    </w:rPr>
  </w:style>
  <w:style w:type="character" w:customStyle="1" w:styleId="37">
    <w:name w:val="批注主题 Char"/>
    <w:basedOn w:val="30"/>
    <w:link w:val="19"/>
    <w:qFormat/>
    <w:uiPriority w:val="0"/>
    <w:rPr>
      <w:b/>
      <w:bCs/>
    </w:rPr>
  </w:style>
  <w:style w:type="paragraph" w:customStyle="1" w:styleId="38">
    <w:name w:val="标题 41"/>
    <w:basedOn w:val="1"/>
    <w:next w:val="1"/>
    <w:qFormat/>
    <w:uiPriority w:val="0"/>
    <w:pPr>
      <w:keepNext/>
      <w:keepLines/>
      <w:spacing w:before="280" w:after="290" w:line="376" w:lineRule="auto"/>
      <w:outlineLvl w:val="3"/>
    </w:pPr>
    <w:rPr>
      <w:rFonts w:ascii="Cambria" w:hAnsi="Cambria" w:eastAsia="宋体" w:cs="Times New Roman"/>
      <w:b/>
      <w:bCs/>
      <w:sz w:val="28"/>
      <w:szCs w:val="28"/>
    </w:rPr>
  </w:style>
  <w:style w:type="character" w:customStyle="1" w:styleId="39">
    <w:name w:val="普通(网站) Char"/>
    <w:link w:val="7"/>
    <w:qFormat/>
    <w:uiPriority w:val="0"/>
    <w:rPr>
      <w:rFonts w:ascii="宋体" w:hAnsi="宋体" w:eastAsia="宋体" w:cs="Times New Roman"/>
      <w:kern w:val="0"/>
      <w:sz w:val="24"/>
      <w:szCs w:val="24"/>
    </w:rPr>
  </w:style>
  <w:style w:type="paragraph" w:customStyle="1" w:styleId="40">
    <w:name w:val="null3"/>
    <w:qFormat/>
    <w:uiPriority w:val="0"/>
    <w:rPr>
      <w:rFonts w:hint="eastAsia" w:ascii="Calibri" w:hAnsi="Calibri" w:eastAsia="宋体" w:cs="Times New Roman"/>
      <w:kern w:val="0"/>
      <w:sz w:val="20"/>
      <w:szCs w:val="20"/>
      <w:lang w:val="en-US" w:eastAsia="zh-CN" w:bidi="ar-SA"/>
    </w:rPr>
  </w:style>
  <w:style w:type="paragraph" w:customStyle="1" w:styleId="41">
    <w:name w:val="样式1"/>
    <w:basedOn w:val="1"/>
    <w:qFormat/>
    <w:uiPriority w:val="0"/>
    <w:pPr>
      <w:jc w:val="center"/>
    </w:pPr>
    <w:rPr>
      <w:rFonts w:ascii="Calibri" w:hAnsi="Calibri" w:eastAsia="方正大标宋简体" w:cs="Times New Roman"/>
      <w:sz w:val="52"/>
    </w:rPr>
  </w:style>
  <w:style w:type="paragraph" w:customStyle="1" w:styleId="42">
    <w:name w:val="Normal Indent1"/>
    <w:qFormat/>
    <w:uiPriority w:val="0"/>
    <w:pPr>
      <w:spacing w:afterLines="50" w:line="360" w:lineRule="auto"/>
      <w:ind w:firstLine="420" w:firstLineChars="200"/>
    </w:pPr>
    <w:rPr>
      <w:rFonts w:ascii="Times New Roman" w:hAnsi="Times New Roman" w:eastAsia="宋体" w:cs="Times New Roman"/>
      <w:kern w:val="0"/>
      <w:sz w:val="20"/>
      <w:szCs w:val="20"/>
      <w:lang w:val="en-US" w:eastAsia="zh-CN" w:bidi="ar-SA"/>
    </w:rPr>
  </w:style>
  <w:style w:type="character" w:customStyle="1" w:styleId="43">
    <w:name w:val="NormalCharacter"/>
    <w:qFormat/>
    <w:uiPriority w:val="99"/>
  </w:style>
  <w:style w:type="character" w:customStyle="1" w:styleId="44">
    <w:name w:val="UserStyle_2"/>
    <w:link w:val="45"/>
    <w:qFormat/>
    <w:uiPriority w:val="99"/>
    <w:rPr>
      <w:rFonts w:ascii="宋体" w:hAnsi="Courier New"/>
    </w:rPr>
  </w:style>
  <w:style w:type="paragraph" w:customStyle="1" w:styleId="45">
    <w:name w:val="PlainText"/>
    <w:basedOn w:val="1"/>
    <w:link w:val="44"/>
    <w:qFormat/>
    <w:uiPriority w:val="99"/>
    <w:pPr>
      <w:widowControl/>
      <w:textAlignment w:val="baseline"/>
    </w:pPr>
    <w:rPr>
      <w:rFonts w:ascii="宋体" w:hAnsi="Courier New"/>
    </w:rPr>
  </w:style>
  <w:style w:type="character" w:customStyle="1" w:styleId="46">
    <w:name w:val="列出段落 Char"/>
    <w:link w:val="47"/>
    <w:qFormat/>
    <w:uiPriority w:val="34"/>
    <w:rPr>
      <w:szCs w:val="21"/>
    </w:rPr>
  </w:style>
  <w:style w:type="paragraph" w:styleId="47">
    <w:name w:val="List Paragraph"/>
    <w:basedOn w:val="1"/>
    <w:link w:val="46"/>
    <w:qFormat/>
    <w:uiPriority w:val="34"/>
    <w:pPr>
      <w:widowControl/>
      <w:ind w:firstLine="420"/>
    </w:pPr>
    <w:rPr>
      <w:szCs w:val="21"/>
    </w:rPr>
  </w:style>
  <w:style w:type="paragraph" w:customStyle="1" w:styleId="48">
    <w:name w:val="*正文"/>
    <w:basedOn w:val="1"/>
    <w:qFormat/>
    <w:uiPriority w:val="0"/>
    <w:pPr>
      <w:widowControl/>
      <w:ind w:firstLine="200" w:firstLineChars="200"/>
      <w:jc w:val="left"/>
      <w:textAlignment w:val="baseline"/>
    </w:pPr>
    <w:rPr>
      <w:rFonts w:ascii="宋体" w:hAnsi="宋体" w:eastAsia="宋体" w:cs="Times New Roman"/>
      <w:kern w:val="0"/>
      <w:sz w:val="20"/>
      <w:szCs w:val="24"/>
    </w:rPr>
  </w:style>
  <w:style w:type="paragraph" w:customStyle="1" w:styleId="49">
    <w:name w:val="Normal_0"/>
    <w:next w:val="50"/>
    <w:qFormat/>
    <w:uiPriority w:val="0"/>
    <w:pPr>
      <w:widowControl w:val="0"/>
      <w:spacing w:after="160" w:line="259" w:lineRule="auto"/>
      <w:jc w:val="both"/>
    </w:pPr>
    <w:rPr>
      <w:rFonts w:ascii="Times New Roman" w:hAnsi="Times New Roman" w:eastAsia="宋体" w:cs="Times New Roman"/>
      <w:kern w:val="2"/>
      <w:sz w:val="24"/>
      <w:szCs w:val="20"/>
      <w:lang w:val="en-US" w:eastAsia="zh-CN" w:bidi="ar-SA"/>
    </w:rPr>
  </w:style>
  <w:style w:type="paragraph" w:customStyle="1" w:styleId="50">
    <w:name w:val="Heading 5_0"/>
    <w:basedOn w:val="1"/>
    <w:next w:val="49"/>
    <w:qFormat/>
    <w:uiPriority w:val="0"/>
    <w:pPr>
      <w:spacing w:after="160" w:line="360" w:lineRule="auto"/>
      <w:ind w:left="991" w:hanging="991"/>
      <w:outlineLvl w:val="4"/>
    </w:pPr>
    <w:rPr>
      <w:rFonts w:ascii="Calibri" w:hAnsi="Calibri" w:eastAsia="黑体" w:cs="Times New Roman"/>
      <w:b/>
      <w:bCs/>
      <w:sz w:val="28"/>
      <w:szCs w:val="32"/>
    </w:rPr>
  </w:style>
  <w:style w:type="paragraph" w:customStyle="1" w:styleId="51">
    <w:name w:val="Normal_0_0"/>
    <w:next w:val="1"/>
    <w:qFormat/>
    <w:uiPriority w:val="0"/>
    <w:pPr>
      <w:overflowPunct w:val="0"/>
      <w:autoSpaceDE w:val="0"/>
      <w:autoSpaceDN w:val="0"/>
      <w:adjustRightInd w:val="0"/>
      <w:spacing w:after="160" w:line="259" w:lineRule="auto"/>
      <w:jc w:val="both"/>
      <w:textAlignment w:val="baseline"/>
    </w:pPr>
    <w:rPr>
      <w:rFonts w:ascii="Times New Roman" w:hAnsi="Times New Roman" w:eastAsia="宋体" w:cs="Times New Roman"/>
      <w:kern w:val="0"/>
      <w:sz w:val="21"/>
      <w:szCs w:val="20"/>
      <w:lang w:val="en-US" w:eastAsia="zh-CN" w:bidi="ar-SA"/>
    </w:rPr>
  </w:style>
  <w:style w:type="paragraph" w:customStyle="1" w:styleId="52">
    <w:name w:val="Table Text"/>
    <w:basedOn w:val="1"/>
    <w:qFormat/>
    <w:uiPriority w:val="0"/>
    <w:pPr>
      <w:spacing w:before="100" w:beforeAutospacing="1" w:after="160" w:line="256" w:lineRule="auto"/>
    </w:pPr>
    <w:rPr>
      <w:rFonts w:ascii="宋体" w:hAnsi="宋体" w:eastAsia="宋体" w:cs="宋体"/>
      <w:szCs w:val="21"/>
    </w:rPr>
  </w:style>
  <w:style w:type="paragraph" w:customStyle="1" w:styleId="53">
    <w:name w:val="MsoNormal"/>
    <w:basedOn w:val="1"/>
    <w:qFormat/>
    <w:uiPriority w:val="0"/>
    <w:pPr>
      <w:widowControl/>
      <w:jc w:val="left"/>
    </w:pPr>
    <w:rPr>
      <w:rFonts w:ascii="Times New Roman" w:hAnsi="Times New Roman" w:eastAsia="Times New Roman" w:cs="Times New Roman"/>
      <w:kern w:val="0"/>
      <w:sz w:val="24"/>
      <w:szCs w:val="24"/>
      <w:lang w:eastAsia="en-US"/>
    </w:rPr>
  </w:style>
  <w:style w:type="paragraph" w:customStyle="1" w:styleId="54">
    <w:name w:val="MsoBodyText"/>
    <w:basedOn w:val="1"/>
    <w:qFormat/>
    <w:uiPriority w:val="0"/>
    <w:pPr>
      <w:widowControl/>
      <w:jc w:val="left"/>
    </w:pPr>
    <w:rPr>
      <w:rFonts w:ascii="Times New Roman" w:hAnsi="Times New Roman" w:eastAsia="Times New Roman" w:cs="Times New Roman"/>
      <w:kern w:val="0"/>
      <w:sz w:val="24"/>
      <w:szCs w:val="24"/>
      <w:lang w:eastAsia="en-US"/>
    </w:rPr>
  </w:style>
  <w:style w:type="table" w:customStyle="1" w:styleId="55">
    <w:name w:val="MsoNormalTable"/>
    <w:basedOn w:val="20"/>
    <w:qFormat/>
    <w:uiPriority w:val="0"/>
    <w:rPr>
      <w:rFonts w:ascii="Times New Roman" w:hAnsi="Times New Roman" w:eastAsia="宋体" w:cs="Times New Roman"/>
      <w:kern w:val="0"/>
      <w:sz w:val="20"/>
      <w:szCs w:val="20"/>
    </w:rPr>
    <w:tblPr>
      <w:tblCellMar>
        <w:top w:w="0" w:type="dxa"/>
        <w:left w:w="108" w:type="dxa"/>
        <w:bottom w:w="0" w:type="dxa"/>
        <w:right w:w="108" w:type="dxa"/>
      </w:tblCellMar>
    </w:tblPr>
  </w:style>
  <w:style w:type="paragraph" w:customStyle="1" w:styleId="56">
    <w:name w:val="p"/>
    <w:basedOn w:val="1"/>
    <w:qFormat/>
    <w:uiPriority w:val="0"/>
    <w:pPr>
      <w:widowControl/>
      <w:jc w:val="left"/>
    </w:pPr>
    <w:rPr>
      <w:rFonts w:ascii="Times New Roman" w:hAnsi="Times New Roman" w:eastAsia="Times New Roman" w:cs="Times New Roman"/>
      <w:kern w:val="0"/>
      <w:sz w:val="24"/>
      <w:szCs w:val="24"/>
      <w:lang w:eastAsia="en-US"/>
    </w:rPr>
  </w:style>
  <w:style w:type="table" w:customStyle="1" w:styleId="57">
    <w:name w:val="Table Normal"/>
    <w:basedOn w:val="20"/>
    <w:qFormat/>
    <w:uiPriority w:val="0"/>
    <w:rPr>
      <w:rFonts w:ascii="Times New Roman" w:hAnsi="Times New Roman" w:eastAsia="宋体" w:cs="Times New Roman"/>
      <w:kern w:val="0"/>
      <w:sz w:val="20"/>
      <w:szCs w:val="20"/>
    </w:rPr>
    <w:tblPr>
      <w:tblCellMar>
        <w:top w:w="0" w:type="dxa"/>
        <w:left w:w="0" w:type="dxa"/>
        <w:bottom w:w="0" w:type="dxa"/>
        <w:right w:w="0" w:type="dxa"/>
      </w:tblCellMar>
    </w:tblPr>
  </w:style>
  <w:style w:type="character" w:customStyle="1" w:styleId="58">
    <w:name w:val="标题 4 Char1"/>
    <w:basedOn w:val="22"/>
    <w:link w:val="4"/>
    <w:qFormat/>
    <w:uiPriority w:val="0"/>
    <w:rPr>
      <w:rFonts w:ascii="Cambria" w:hAnsi="Cambria" w:eastAsia="宋体" w:cs="Times New Roman"/>
      <w:b/>
      <w:bCs/>
      <w:sz w:val="28"/>
      <w:szCs w:val="28"/>
    </w:rPr>
  </w:style>
  <w:style w:type="character" w:customStyle="1" w:styleId="59">
    <w:name w:val="15"/>
    <w:basedOn w:val="22"/>
    <w:qFormat/>
    <w:uiPriority w:val="0"/>
    <w:rPr>
      <w:rFonts w:hint="default" w:ascii="Times New Roman" w:hAnsi="Times New Roman" w:cs="Times New Roman"/>
    </w:rPr>
  </w:style>
  <w:style w:type="character" w:customStyle="1" w:styleId="60">
    <w:name w:val="10"/>
    <w:basedOn w:val="22"/>
    <w:qFormat/>
    <w:uiPriority w:val="0"/>
    <w:rPr>
      <w:rFonts w:hint="default" w:ascii="Times New Roman" w:hAnsi="Times New Roman" w:cs="Times New Roman"/>
    </w:rPr>
  </w:style>
  <w:style w:type="character" w:customStyle="1" w:styleId="61">
    <w:name w:val="font01"/>
    <w:basedOn w:val="22"/>
    <w:qFormat/>
    <w:uiPriority w:val="0"/>
    <w:rPr>
      <w:rFonts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microsoft.com/office/2011/relationships/people" Target="people.xml"/><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microsoft.com/office/2011/relationships/commentsExtended" Target="commentsExtended.xml"/><Relationship Id="rId3" Type="http://schemas.openxmlformats.org/officeDocument/2006/relationships/comments" Target="comment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Pages>
  <Words>13441</Words>
  <Characters>15330</Characters>
  <Lines>1</Lines>
  <Paragraphs>1</Paragraphs>
  <TotalTime>40</TotalTime>
  <ScaleCrop>false</ScaleCrop>
  <LinksUpToDate>false</LinksUpToDate>
  <CharactersWithSpaces>15506</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2025-03-19T07:41:00Z</dcterms:created>
  <dc:creator>微软用户</dc:creator>
  <cp:lastModifiedBy>张碧容</cp:lastModifiedBy>
  <cp:lastPrinted>2025-12-05T15:59:03Z</cp:lastPrinted>
  <dcterms:modified xsi:type="dcterms:W3CDTF">2025-12-05T16:30:30Z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eyJoZGlkIjoiZGIyMjQ0NWIzOTBiMWI3NDZkN2QwNTljNDgxZmM0ZDkiLCJ1c2VySWQiOiI0MTA2NDk4NDIifQ==</vt:lpwstr>
  </property>
  <property fmtid="{D5CDD505-2E9C-101B-9397-08002B2CF9AE}" pid="3" name="KSOProductBuildVer">
    <vt:lpwstr>2052-11.8.2.10183</vt:lpwstr>
  </property>
  <property fmtid="{D5CDD505-2E9C-101B-9397-08002B2CF9AE}" pid="4" name="ICV">
    <vt:lpwstr>634074831CAE4062A26037231A55CE24_12</vt:lpwstr>
  </property>
</Properties>
</file>