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附件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国家税务总局大连市税务局第一稽查局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办公楼财产保险采购项目需求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一、投保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标的概况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建筑物：办公楼，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建筑面积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17805.25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㎡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包含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主体建筑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变配电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、空冷、暖通、给排水、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消防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电梯等系统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2.办公设备、电子设备、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家具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和用具等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二、保障需求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1.保险金额：159,031,470.10元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2.保险期限：一年，可续保优先。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3.承保风险：火灾、爆炸、雷击、暴雨、洪水、台风、暴风、龙卷风、雪灾、雹灾、地面突然塌陷、飞行物体及其他空中运行物体坠落等。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三、保险条款要求</w:t>
      </w:r>
    </w:p>
    <w:p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1.险种：财产一切险（须提供经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国家金融监管机构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备案的条款）。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责任范围：采用“一切险”方式承保。即除“责任免除”列明外，因自然灾害（含暴雨、台风、雷击）或意外事故（含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火灾、爆炸、水管爆裂）造成的直接物质损失均在赔偿范围内。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2.险种：公众责任险（须提供经国家金融监管机构备案的条款）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责任范围：公众责任保险，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即除“责任免除”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列明外，对第三者造成损害时，依法应承担的赔偿责任。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四、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服务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要求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响应时效：报案后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30分钟内响应，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2小时内现场查勘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（市区）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，5个工作日内出具初步定损意见。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2.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理赔时效：单证齐全后10个工作日内支付赔款。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3.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专属服务：指定专属理赔协调人，提供服务。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报价与响应文件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1.报价构成：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按险种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须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分别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列明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保险金额、赔偿限额、费率、保费、免赔额、免赔率等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2.文件要求：必须提供完整的《财产一切险条款》《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公众责任保险条款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》及《服务承诺书》。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、保险期限与服务期要求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1.保险期限：1年，自保单载明的起保日零时起，至期满日二十四时止。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起保时间：为确保保障无缝衔接，保单生效日（起保日）必须为上一个保单到期日的次日，或为本采购合同签订后的次日。不接受延迟生效的报价。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A55A1"/>
    <w:rsid w:val="7B7A34ED"/>
    <w:rsid w:val="7F9A55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2026-04-15T10:54:00Z</dcterms:created>
  <dc:creator>user</dc:creator>
  <cp:lastModifiedBy>魏成城</cp:lastModifiedBy>
  <dcterms:modified xsi:type="dcterms:W3CDTF">2026-04-15T03:15:44Z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D1E41711271590EFD0FDDE6962FCC7C5</vt:lpwstr>
  </property>
</Properties>
</file>