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jc w:val="left"/>
        <w:textAlignment w:val="auto"/>
        <w:rPr>
          <w:rFonts w:hint="eastAsia" w:ascii="楷体_GB2312" w:hAnsi="楷体_GB2312" w:eastAsia="楷体_GB2312" w:cs="楷体_GB2312"/>
          <w:color w:val="auto"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eastAsia="zh-CN"/>
        </w:rPr>
        <w:t>附件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1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eastAsia="zh-CN"/>
        </w:rPr>
        <w:t>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jc w:val="left"/>
        <w:textAlignment w:val="auto"/>
        <w:rPr>
          <w:rFonts w:hint="eastAsia" w:ascii="楷体_GB2312" w:hAnsi="楷体_GB2312" w:eastAsia="楷体_GB2312" w:cs="楷体_GB2312"/>
          <w:color w:val="auto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国家税务总局大连市税务局第一稽查局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办公楼财产保险采购项目需求</w:t>
      </w:r>
    </w:p>
    <w:p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</w:rPr>
      </w:pPr>
    </w:p>
    <w:p>
      <w:pPr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一、投保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标的概况</w:t>
      </w:r>
    </w:p>
    <w:p>
      <w:pPr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建筑物：办公楼，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建筑面积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17805.25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㎡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包含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主体建筑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变配电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、空冷、暖通、给排水、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消防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电梯等系统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。</w:t>
      </w:r>
    </w:p>
    <w:p>
      <w:pPr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2.办公设备、电子设备、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家具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和用具等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。</w:t>
      </w:r>
    </w:p>
    <w:p>
      <w:pPr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二、保障需求</w:t>
      </w:r>
    </w:p>
    <w:p>
      <w:pPr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1.保险金额：159,031,470.10元</w:t>
      </w:r>
    </w:p>
    <w:p>
      <w:pPr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2.保险期限：一年，可续保优先。</w:t>
      </w:r>
    </w:p>
    <w:p>
      <w:pPr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3.承保风险：火灾、爆炸、雷击、暴雨、洪水、台风、暴风、龙卷风、雪灾、雹灾、地面突然塌陷、飞行物体及其他空中运行物体坠落等。</w:t>
      </w:r>
    </w:p>
    <w:p>
      <w:pPr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三、保险条款要求</w:t>
      </w:r>
    </w:p>
    <w:p>
      <w:pPr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1.险种：财产一切险（须提供经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国家金融监管机构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备案的条款）。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责任范围：采用“一切险”方式承保。即除“责任免除”列明外，因自然灾害（含暴雨、台风、雷击）或意外事故（含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textAlignment w:val="auto"/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火灾、爆炸、水管爆裂）造成的直接物质损失均在赔偿范围内。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2.险种：公众责任险（须提供经国家金融监管机构备案的条款）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eastAsia="zh-CN"/>
        </w:rPr>
        <w:t>责任范围：公众责任保险，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即除“责任免除”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eastAsia="zh-CN"/>
        </w:rPr>
        <w:t>列明外，对第三者造成损害时，依法应承担的赔偿责任。</w:t>
      </w:r>
    </w:p>
    <w:p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highlight w:val="none"/>
          <w:lang w:eastAsia="zh-CN"/>
        </w:rPr>
        <w:t>四、</w:t>
      </w:r>
      <w:r>
        <w:rPr>
          <w:rFonts w:hint="eastAsia" w:ascii="黑体" w:hAnsi="黑体" w:eastAsia="黑体" w:cs="黑体"/>
          <w:color w:val="auto"/>
          <w:sz w:val="32"/>
          <w:szCs w:val="32"/>
          <w:highlight w:val="none"/>
        </w:rPr>
        <w:t>服务</w:t>
      </w:r>
      <w:r>
        <w:rPr>
          <w:rFonts w:hint="eastAsia" w:ascii="黑体" w:hAnsi="黑体" w:eastAsia="黑体" w:cs="黑体"/>
          <w:color w:val="auto"/>
          <w:sz w:val="32"/>
          <w:szCs w:val="32"/>
          <w:highlight w:val="none"/>
          <w:lang w:eastAsia="zh-CN"/>
        </w:rPr>
        <w:t>要求</w:t>
      </w:r>
    </w:p>
    <w:p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textAlignment w:val="auto"/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 xml:space="preserve">    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1.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响应时效：报案后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30分钟内响应，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2小时内现场查勘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eastAsia="zh-CN"/>
        </w:rPr>
        <w:t>（市区）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，5个工作日内出具初步定损意见。</w:t>
      </w:r>
    </w:p>
    <w:p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textAlignment w:val="auto"/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 xml:space="preserve">   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 xml:space="preserve"> 2.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理赔时效：单证齐全后10个工作日内支付赔款。</w:t>
      </w:r>
    </w:p>
    <w:p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textAlignment w:val="auto"/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 xml:space="preserve">   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 xml:space="preserve"> 3.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专属服务：指定专属理赔协调人，提供服务。</w:t>
      </w:r>
    </w:p>
    <w:p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/>
        <w:textAlignment w:val="auto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五、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报价与响应文件</w:t>
      </w:r>
    </w:p>
    <w:p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1.报价构成：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按险种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须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分别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列明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保险金额、赔偿限额、费率、保费、免赔额、免赔率等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。</w:t>
      </w:r>
    </w:p>
    <w:p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2.文件要求：必须提供完整的《财产一切险条款》《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公众责任保险条款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》及《服务承诺书》。</w:t>
      </w:r>
    </w:p>
    <w:p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六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、保险期限与服务期要求</w:t>
      </w:r>
    </w:p>
    <w:p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1.保险期限：1年，自保单载明的起保日零时起，至期满日二十四时止。</w:t>
      </w:r>
    </w:p>
    <w:p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textAlignment w:val="auto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 xml:space="preserve">   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 xml:space="preserve"> 2.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起保时间：为确保保障无缝衔接，保单生效日（起保日）必须为上一个保单到期日的次日，或为本采购合同签订后的次日。不接受延迟生效的报价。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9A55A1"/>
    <w:rsid w:val="7B7A34ED"/>
    <w:rsid w:val="7F9A55A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Calibri" w:hAnsi="Calibri" w:eastAsia="宋体" w:cs="Times New Roman"/>
      <w:sz w:val="22"/>
      <w:szCs w:val="22"/>
      <w:lang w:val="en-US" w:eastAsia="en-US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Style w:val="2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3.33333333333333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2026-04-15T10:54:00Z</dcterms:created>
  <dc:creator>user</dc:creator>
  <cp:lastModifiedBy>魏成城</cp:lastModifiedBy>
  <dcterms:modified xsi:type="dcterms:W3CDTF">2026-04-15T03:15:44Z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  <property fmtid="{D5CDD505-2E9C-101B-9397-08002B2CF9AE}" pid="3" name="ICV">
    <vt:lpwstr>D1E41711271590EFD0FDDE6962FCC7C5</vt:lpwstr>
  </property>
</Properties>
</file>